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Francois Dumartin</w:t>
      </w:r>
    </w:p>
    <w:p>
      <w:pPr>
        <w:spacing w:line="240" w:lineRule="auto" w:before="0" w:after="0"/>
        <w:jc w:val="right"/>
      </w:pPr>
      <w:r>
        <w:t>SAS DELIMIT</w:t>
      </w:r>
    </w:p>
    <w:p>
      <w:pPr>
        <w:spacing w:line="240" w:lineRule="auto" w:before="0" w:after="0"/>
        <w:jc w:val="right"/>
      </w:pPr>
      <w:r>
        <w:t>Place de la libération</w:t>
      </w:r>
    </w:p>
    <w:p>
      <w:pPr>
        <w:spacing w:line="240" w:lineRule="auto" w:before="0" w:after="0"/>
        <w:jc w:val="right"/>
      </w:pPr>
      <w:r>
        <w:t>24800 THIVIERS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Dumartin,</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technologique pointue, intégrant le survol par drone, les relevés LIDAR et la modélisation 3D par photogrammétrie. Cette capacité à produire des données de haute précision, alliée à une complémentarité forte entre l'expertise foncière et la technicité topographique, permet d'offrir une véritable aide à la décision aux clients. Votre engagement dans la rigueur des données, qu'il s'agisse de volumes d'exploitation en carrières ou de plans de copropriété, témoigne d'une recherche constante de qualité.</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Dumartin,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