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Dykman</w:t>
      </w:r>
    </w:p>
    <w:p>
      <w:pPr>
        <w:spacing w:line="240" w:lineRule="auto" w:before="0" w:after="0"/>
        <w:jc w:val="right"/>
      </w:pPr>
      <w:r>
        <w:t>17, rue de Rivière Résidence Tivoli Hall B, 33000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Dykman,</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mon stage professionnel de deux ans. Suite à un stage d'observation au cabinet de Monsieur Pascal Vailles (31), je sollicite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pointue dans la gestion de projets immobiliers complexes, notamment via la création de copropriétés et la rédaction d'actes juridiques précis. Votre approche, centrée sur la sécurité juridique et la qualité du conseil, témoigne d'une volonté d'accompagner chaque client comme un partenaire de confiance. Cette attention aux spécificités de chaque bien, alliée à une maîtrise rigoureuse du droit foncier et des relevés architecturaux 3D, illustre une pratique où la technicité sert directement la sécurisation des projets et la valorisation du patrimoine.</w:t>
      </w:r>
    </w:p>
    <w:p>
      <w:pPr>
        <w:spacing w:line="276" w:lineRule="auto" w:before="0" w:after="160"/>
        <w:jc w:val="both"/>
      </w:pPr>
      <w:r>
        <w:t>Je recherche une structure pour m'engager durablement dans ma préparation. Mon parcours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Dykman,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