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 Landel</w:t>
      </w:r>
    </w:p>
    <w:p>
      <w:pPr>
        <w:spacing w:line="240" w:lineRule="auto" w:before="0" w:after="0"/>
        <w:jc w:val="right"/>
      </w:pPr>
      <w:r>
        <w:t>SARL ARKETUDE</w:t>
      </w:r>
    </w:p>
    <w:p>
      <w:pPr>
        <w:spacing w:line="240" w:lineRule="auto" w:before="0" w:after="0"/>
        <w:jc w:val="right"/>
      </w:pPr>
      <w:r>
        <w:t>2, rue du stade</w:t>
      </w:r>
    </w:p>
    <w:p>
      <w:pPr>
        <w:spacing w:line="240" w:lineRule="auto" w:before="0" w:after="0"/>
        <w:jc w:val="right"/>
      </w:pPr>
      <w:r>
        <w:t>33470 LE TEICH</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Landel,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vos activités.</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ARKETUDE se distingue par une structure à taille humaine favorisant une approche de proximité et une maîtrise complète du cœur de métier. Créée en 2017, votre organisation permet une polyvalence opérationnelle face aux demandes variées des clients. Votre cabinet privilégie une expertise de qualité où le lien direct avec le terrain et le suivi rigoureux des dossiers constituent les piliers de votre activité quotidienne.</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échange entre rigueur de la donnée et expertise du droit foncier. Ma capacité à synthétiser des informations issues d'archives ou de relevés techniques sera un atout majeur pour accompagner vos dossiers de bornage ou de division.</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Landel,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