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Tuquoi</w:t>
      </w:r>
    </w:p>
    <w:p>
      <w:pPr>
        <w:spacing w:line="240" w:lineRule="auto" w:before="0" w:after="0"/>
        <w:jc w:val="right"/>
      </w:pPr>
      <w:r>
        <w:t>Cabinet TUQUOI Guillaume</w:t>
      </w:r>
    </w:p>
    <w:p>
      <w:pPr>
        <w:spacing w:line="240" w:lineRule="auto" w:before="0" w:after="0"/>
        <w:jc w:val="right"/>
      </w:pPr>
      <w:r>
        <w:t>17 place Roger Ducos</w:t>
      </w:r>
    </w:p>
    <w:p>
      <w:pPr>
        <w:spacing w:line="240" w:lineRule="auto" w:before="0" w:after="0"/>
        <w:jc w:val="right"/>
      </w:pPr>
      <w:r>
        <w:t>40100 DAX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Tuquoi,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présence sur plusieurs sites, notamment à Dax et à Saint-Julien-en-Born. Cette implantation permet de couvrir une diversité de territoires et de problématiques foncières variées, allant de l'urbain au rural. La dimension humaine de votre structure, forte de son expérience depuis 2009, témoigne d'une volonté de proximité et d'une maîtrise de l'accompagnement technique auprès des acteurs locaux.</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Tuquoi,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