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Blandine Ganivet</w:t>
      </w:r>
    </w:p>
    <w:p>
      <w:pPr>
        <w:spacing w:line="240" w:lineRule="auto" w:before="0" w:after="0"/>
        <w:jc w:val="right"/>
      </w:pPr>
      <w:r>
        <w:t>SARL BLANDINE GANIVET</w:t>
      </w:r>
    </w:p>
    <w:p>
      <w:pPr>
        <w:spacing w:line="240" w:lineRule="auto" w:before="0" w:after="0"/>
        <w:jc w:val="right"/>
      </w:pPr>
      <w:r>
        <w:t>145, route de Lelanne résidence ALAIA</w:t>
      </w:r>
    </w:p>
    <w:p>
      <w:pPr>
        <w:spacing w:line="240" w:lineRule="auto" w:before="0" w:after="0"/>
        <w:jc w:val="right"/>
      </w:pPr>
      <w:r>
        <w:t>40230 ST GEOURS DE MAREMNE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constituant le cadre de mon stage professionnel de deux ans. Suite à un stage d’observation instructif au sein du cabinet de Monsieur Pascal Vailles à Muret (31), je dépose aujourd'hui ma candidature avec la volonté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à taille humaine et récemment constitué en 2022, se distingue par une approche de proximité et une maîtrise directe du cœur de métier. En tant que structure locale, la SARL BLANDINE GANIVET assure un accompagnement rigoureux des propriétaires et des acteurs du territoire, privilégiant une expertise de terrain maîtrisée et une réactivité indispensable. Cette dimension artisanale, alliée au professionnalisme requis par l'exercice de la profession, constitue un environnement de travail particulièrement stimulant pour mon apprentissage.</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d'aménagement, tout en m'appuyant sur une méthode de recherche rigoureuse pour assimiler rapidement le cadre réglementaire de la profession. Je conçois ce stage comme un véritable échange entre la précision de la donnée et l'expertise du droit foncier.</w:t>
      </w:r>
    </w:p>
    <w:p>
      <w:pPr>
        <w:spacing w:line="276" w:lineRule="auto" w:before="0" w:after="160"/>
        <w:jc w:val="both"/>
      </w:pPr>
      <w:r>
        <w:t>Lors de ma récente immersion en cabinet, j’ai découvert les spécificités du travail de terrain. Ma familiarité avec la donnée spatiale m’a permis d’assimiler rapidement les méthodes de production, de l’acquisition sur le terrain jusqu’à la restitution graphique. Ces semaines m’ont permis de mesurer que les outils techniques ne prennent leur pleine valeur que lorsqu’ils appuient un raisonnement juridique. Conscient que la maîtrise opérationnelle s’acquiert par la pratique quotidienne, je suis motivé pour apporter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