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Joëlle Perie (Maubourguet)</w:t>
      </w:r>
    </w:p>
    <w:p>
      <w:pPr>
        <w:spacing w:line="240" w:lineRule="auto" w:before="0" w:after="0"/>
        <w:jc w:val="right"/>
      </w:pPr>
      <w:r>
        <w:t>SCP Joëlle MAUBOURGUET</w:t>
      </w:r>
    </w:p>
    <w:p>
      <w:pPr>
        <w:spacing w:line="240" w:lineRule="auto" w:before="0" w:after="0"/>
        <w:jc w:val="right"/>
      </w:pPr>
      <w:r>
        <w:t>33 allées Paul Bourillon</w:t>
      </w:r>
    </w:p>
    <w:p>
      <w:pPr>
        <w:spacing w:line="240" w:lineRule="auto" w:before="0" w:after="0"/>
        <w:jc w:val="right"/>
      </w:pPr>
      <w:r>
        <w:t>47200 MARMANDE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à l'équilibre que je recherche : l’articulation entre la rigueur technique de la mesure sur le terrain et l’ingénierie juridique complexe du territoire. Si la pratique de terrain m’attire, c’est avant tout la dimension intellectuelle qui me motive profondément : confronter les archives historiques, les réalités matérielles et les règles d’urbanisme pour sécuriser des projets de bornage, de division ou d’aménagement durable.</w:t>
      </w:r>
    </w:p>
    <w:p>
      <w:pPr>
        <w:spacing w:line="276" w:lineRule="auto" w:before="0" w:after="160"/>
        <w:jc w:val="both"/>
      </w:pPr>
      <w:r>
        <w:t>Votre cabinet, créé en 1995, témoigne d’une solide expertise ancrée dans le territoire depuis plusieurs décennies. La présence de vos implantations à Marmande et Miramont de Guyenne souligne une capacité à intervenir sur une diversité de contextes, qu'ils soient urbains ou ruraux. Cette pérennité et cet ancrage local garantissent une maîtrise approfondie des problématiques foncières spécifiques à la région, tout en offrant une vision globale des enjeux de développement territorial.</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la modélisation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