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Lionel Brenac</w:t>
      </w:r>
    </w:p>
    <w:p>
      <w:pPr>
        <w:spacing w:line="240" w:lineRule="auto" w:before="0" w:after="0"/>
        <w:jc w:val="right"/>
      </w:pPr>
      <w:r>
        <w:t>Cabinet BRENAC Lionel</w:t>
      </w:r>
    </w:p>
    <w:p>
      <w:pPr>
        <w:spacing w:line="240" w:lineRule="auto" w:before="0" w:after="0"/>
        <w:jc w:val="right"/>
      </w:pPr>
      <w:r>
        <w:t>48, avenue du 8 mai 1945 Espace Mendi Alde</w:t>
      </w:r>
    </w:p>
    <w:p>
      <w:pPr>
        <w:spacing w:line="240" w:lineRule="auto" w:before="0" w:after="0"/>
        <w:jc w:val="right"/>
      </w:pPr>
      <w:r>
        <w:t>64100 BAYONNE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Brenac,</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implanté à Bayonne depuis 2000, témoigne d'une expertise solide au service des acteurs locaux. Cette longévité garantit une maîtrise approfondie du métier et une connaissance fine des spécificités foncières de votre territoire. Je suis particulièrement attentif à la fiabilité que procure un tel ancrage pour les projets de vos clients dans le secteur de l'aménagement et du bornage.</w:t>
      </w:r>
    </w:p>
    <w:p>
      <w:pPr>
        <w:spacing w:line="276" w:lineRule="auto" w:before="0" w:after="160"/>
        <w:jc w:val="both"/>
      </w:pPr>
      <w:r>
        <w:t>Mon parcours universitaire m'a doté d'une forte culture de la donnée spatiale (topographie, modélisation) ainsi que d'une solide capacité d'analyse face aux problématiques complexes. Mon objectif est de mettre cette force technique au service de vos opérations, tout en utilisant ma méthodologie de chercheur pour assimiler rapidement le cadre réglementaire. Je conçois ce stage comme un échange entre la rigueur de la donnée et l'expertise du droit foncier, où ma capacité de synthèse sera un atout majeur.</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Brenac,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