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Louis Carrau</w:t>
      </w:r>
    </w:p>
    <w:p>
      <w:pPr>
        <w:spacing w:line="240" w:lineRule="auto" w:before="0" w:after="0"/>
        <w:jc w:val="right"/>
      </w:pPr>
      <w:r>
        <w:t>SARL CARRAU</w:t>
      </w:r>
    </w:p>
    <w:p>
      <w:pPr>
        <w:spacing w:line="240" w:lineRule="auto" w:before="0" w:after="0"/>
        <w:jc w:val="right"/>
      </w:pPr>
      <w:r>
        <w:t>30 Boulevard du Commandant Mouchotte</w:t>
      </w:r>
    </w:p>
    <w:p>
      <w:pPr>
        <w:spacing w:line="240" w:lineRule="auto" w:before="0" w:after="0"/>
        <w:jc w:val="right"/>
      </w:pPr>
      <w:r>
        <w:t>64320 BIZANOS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Carrau,</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CARRAU s'affirme comme une structure à taille humaine, implantée à Bizanos depuis 2020. Sa trajectoire de développement témoigne d'une volonté de consolidation et d'une maîtrise rigoureuse du cœur de métier. En tant que cabinet en pleine expansion, elle offre un cadre structuré où la précision des prestations techniques et la proximité avec les acteurs locaux constituent des piliers essentiels. Cette organisation permet de garantir une expertise fiable et une réactivité constante dans le suivi des projets fonciers.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Carrau,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