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Jean Bernard Osanz</w:t>
      </w:r>
    </w:p>
    <w:p>
      <w:pPr>
        <w:spacing w:line="240" w:lineRule="auto" w:before="0" w:after="0"/>
        <w:jc w:val="right"/>
      </w:pPr>
      <w:r>
        <w:t>SCP OSANZ Philippe</w:t>
      </w:r>
    </w:p>
    <w:p>
      <w:pPr>
        <w:spacing w:line="240" w:lineRule="auto" w:before="0" w:after="0"/>
        <w:jc w:val="right"/>
      </w:pPr>
      <w:r>
        <w:t>28, Avenue Vignancour</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Pau depuis 1992, témoigne d'une solide pérennité et d'une maîtrise affirmée du cœur de métier. Cette présence historique suggère une expertise ancrée dans la connaissance fine du foncier local et une capacité à accompagner des projets variés avec fiabilité. La stabilité de votre structure est un gage de sérieux qui correspond parfaitement à mon souhait d'intégrer un environnement professionnel structuré.</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échange entre la rigueur de la donnée et l'expertise du droit foncier, en exploitant mes compétences en programmation Python pour le traitement de données spatiales.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Osanz,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