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Marie Alaux</w:t>
      </w:r>
    </w:p>
    <w:p>
      <w:pPr>
        <w:spacing w:line="240" w:lineRule="auto" w:before="0" w:after="0"/>
        <w:jc w:val="right"/>
      </w:pPr>
      <w:r>
        <w:t>ABC SELARL de Géomètres-experts</w:t>
      </w:r>
    </w:p>
    <w:p>
      <w:pPr>
        <w:spacing w:line="240" w:lineRule="auto" w:before="0" w:after="0"/>
        <w:jc w:val="right"/>
      </w:pPr>
      <w:r>
        <w:t>90 rue Pierre Carrère</w:t>
      </w:r>
    </w:p>
    <w:p>
      <w:pPr>
        <w:spacing w:line="240" w:lineRule="auto" w:before="0" w:after="0"/>
        <w:jc w:val="right"/>
      </w:pPr>
      <w:r>
        <w:t>12000 RODEZ</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Alaux,</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géographique étendue, couvrant des secteurs tels que Rodez, Pomayrols, Entraygues-sur-Truyère, Laguiole et Espalion. Cette présence multi-sites témoigne d'une diversité de territoires (ruraux, montagneux et urbains). Cette capacité à intervenir sur des périmètres variés tout en maintenant une structure solide reflète une maîtrise approfondie des spécificités foncières locales et une organisation adaptée aux enjeux territoriaux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