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Jean-Michel Teilhard</w:t>
      </w:r>
    </w:p>
    <w:p>
      <w:pPr>
        <w:spacing w:line="240" w:lineRule="auto" w:before="0" w:after="0"/>
        <w:jc w:val="right"/>
      </w:pPr>
      <w:r>
        <w:t>SARL AMENAGEMENT QUERCY ROUERGUE</w:t>
      </w:r>
    </w:p>
    <w:p>
      <w:pPr>
        <w:spacing w:line="240" w:lineRule="auto" w:before="0" w:after="0"/>
        <w:jc w:val="right"/>
      </w:pPr>
      <w:r>
        <w:t>Avenue du 10 août ZI du Centre</w:t>
      </w:r>
    </w:p>
    <w:p>
      <w:pPr>
        <w:spacing w:line="240" w:lineRule="auto" w:before="0" w:after="0"/>
        <w:jc w:val="right"/>
      </w:pPr>
      <w:r>
        <w:t>12300 DECAZEVILLE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AMENAGEMENT QUERCY ROUERGUE se distingue par sa présence sur plusieurs sites, notamment à Figeac et Decazeville. Cette implantation géographique permet d'intervenir sur une diversité de territoires et de problématiques foncières variées, du milieu rural aux zones d'aménagement structurées. Votre structure offre ainsi un cadre d'exercice complet, où la maîtrise du cœur de métier s'exerce au contact direct d'une clientèle locale et de contextes d'aménagement spécifiques à la région.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Teilhard,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