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BBASS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maillage territorial dense couvrant l'Hérault et le Gard, permettant une proximité avec des clients aux projets variés, en milieu urbain comme rural. Cette capacité à accompagner une diversité de missions — du bornage à la gestion de copropriétés — témoigne d'une solide expertise technique. Votre approche, privilégiant la clarté pédagogique pour assurer la sécurité juridique et l'opposabilité des actes fonciers, reflète une volonté constante de conseil et de réactivité face aux enjeux concrets des propriétaires.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