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dirigeants du Cabinet CARTA et MORIN</w:t>
      </w:r>
    </w:p>
    <w:p>
      <w:pPr>
        <w:spacing w:line="240" w:lineRule="auto" w:before="0" w:after="0"/>
        <w:jc w:val="right"/>
      </w:pPr>
      <w:r>
        <w:t>21 allées Frédéric Mistral BP 91042, 30130 PONT ST ESPRIT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sur plusieurs sites en Ardèche, notamment à Lalevade et à Pont Saint-Esprit. Cette présence multi-sites témoigne d'une capacité à couvrir une diversité de problématiques foncières sur un territoire spécifique. Votre structure permet d'allier une maîtrise du cœur de métier à une connaissance fine des enjeux locaux, garantissant un accompagnement précis pour les projets d'aménagement.</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