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RICHER</w:t>
      </w:r>
    </w:p>
    <w:p>
      <w:pPr>
        <w:spacing w:line="240" w:lineRule="auto" w:before="0" w:after="0"/>
        <w:jc w:val="right"/>
      </w:pPr>
      <w:r>
        <w:t>97 rue Grieg</w:t>
      </w:r>
    </w:p>
    <w:p>
      <w:pPr>
        <w:spacing w:line="240" w:lineRule="auto" w:before="0" w:after="0"/>
        <w:jc w:val="right"/>
      </w:pPr>
      <w:r>
        <w:t>30000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Votre cabinet se distingue par une expertise pluridisciplinaire solide, alliant les compétences de l'ingénieur, du technicien de la mesure et du juriste spécialisé en droit de la propriété. Votre ancrage territorial de trente années et votre capacité à intervenir sur des projets d'infrastructures d'envergure, notamment sur la distribution d'eau ou les risques d'inondation, témoignent d'une maîtrise technique éprouvée. La démarche qualité est ici mise au service d'une approche de partenariat axée sur l'écoute et l'accompagnement des professionnels, ainsi qu'un engagement en faveur de la prévention des risques environnementaux.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RICHER,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