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Alonso</w:t>
      </w:r>
    </w:p>
    <w:p>
      <w:pPr>
        <w:spacing w:line="240" w:lineRule="auto" w:before="0" w:after="0"/>
        <w:jc w:val="right"/>
      </w:pPr>
      <w:r>
        <w:t>249 avenue des Droits de L'Homme Résidence Le Vigile Bât B n° 96</w:t>
      </w:r>
    </w:p>
    <w:p>
      <w:pPr>
        <w:spacing w:line="240" w:lineRule="auto" w:before="0" w:after="0"/>
        <w:jc w:val="right"/>
      </w:pPr>
      <w:r>
        <w:t>34000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Alonso,</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à Montpellier depuis 2015, se distingue par une approche ancrée dans la réalité du terrain et une maîtrise rigoureuse du cœur de métier. En intervenant sur le territoire de l'Hérault, vous assurez une prestation de proximité indispensable à la sécurisation foncière. Votre structure incarne une pratique solide de la profession, où la fiabilité des diagnostics et la précision des opérations techniques constituent le socle de la relation de confiance avec vos clients.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Alonso,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