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l'EURL GEOTOP 34</w:t>
      </w:r>
    </w:p>
    <w:p>
      <w:pPr>
        <w:spacing w:line="240" w:lineRule="auto" w:before="0" w:after="0"/>
        <w:jc w:val="right"/>
      </w:pPr>
      <w:r>
        <w:t>849 rue Favre de Saint-Castor Immeuble Green Valley</w:t>
      </w:r>
    </w:p>
    <w:p>
      <w:pPr>
        <w:spacing w:line="240" w:lineRule="auto" w:before="0" w:after="0"/>
        <w:jc w:val="right"/>
      </w:pPr>
      <w:r>
        <w:t>34000 MONTPELLIER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implanté à Montpellier, intervient dans un contexte territorial marqué par des enjeux fonciers variés. La diversité des problématiques liées à l'évolution de ce territoire exige une maîtrise rigoureuse du cadre réglementaire et une capacité à sécuriser des projets complexes. Je suis particulièrement attentif à la manière dont GEOTOP 34 concilie ces impératifs techniques et juridiques pour accompagner efficacement ses clients dans leurs projets d'aménagement.</w:t>
      </w:r>
    </w:p>
    <w:p>
      <w:pPr>
        <w:spacing w:line="276" w:lineRule="auto" w:before="0" w:after="160"/>
        <w:jc w:val="both"/>
      </w:pPr>
      <w:r>
        <w:t>En m'adressant à vous, je recherche une structure où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