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SCP Olivier CAZAUX Successeur de Jean LACAZE</w:t>
      </w:r>
    </w:p>
    <w:p>
      <w:pPr>
        <w:spacing w:line="240" w:lineRule="auto" w:before="0" w:after="0"/>
        <w:jc w:val="right"/>
      </w:pPr>
      <w:r>
        <w:t>5 avenue Augustin Malroux</w:t>
      </w:r>
    </w:p>
    <w:p>
      <w:pPr>
        <w:spacing w:line="240" w:lineRule="auto" w:before="0" w:after="0"/>
        <w:jc w:val="right"/>
      </w:pPr>
      <w:r>
        <w:t>81500 LAVAUR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SCP Olivier CAZAUX Successeur de Jean LACAZE incarne une structure dont la pérennité et la transmission des savoir-faire sont manifestes. En tant que successeur d’une activité établie, votre cabinet garantit une maîtrise approfondie du cœur du métier et une connaissance précise du patrimoine foncier local. Cette continuité historique est essentielle pour assurer la sécurité juridique des opérations, valorisant une pratique ancrée dans la rigueur.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