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Gregory Delcros</w:t>
      </w:r>
    </w:p>
    <w:p>
      <w:pPr>
        <w:spacing w:line="240" w:lineRule="auto" w:before="0" w:after="0"/>
        <w:jc w:val="right"/>
      </w:pPr>
      <w:r>
        <w:t>SELARL AXIAP</w:t>
      </w:r>
    </w:p>
    <w:p>
      <w:pPr>
        <w:spacing w:line="240" w:lineRule="auto" w:before="0" w:after="0"/>
        <w:jc w:val="right"/>
      </w:pPr>
      <w:r>
        <w:t>51 rue Isaac Newton Bât B3</w:t>
      </w:r>
    </w:p>
    <w:p>
      <w:pPr>
        <w:spacing w:line="240" w:lineRule="auto" w:before="0" w:after="0"/>
        <w:jc w:val="right"/>
      </w:pPr>
      <w:r>
        <w:t>81000 ALBI</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Delcros,</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 Cette double compétence, mêlant précision technique et analyse juridique, constitue pour moi le cœur de la profession.</w:t>
      </w:r>
    </w:p>
    <w:p>
      <w:pPr>
        <w:spacing w:line="276" w:lineRule="auto" w:before="0" w:after="160"/>
        <w:jc w:val="both"/>
      </w:pPr>
      <w:r>
        <w:t>La structure de la SELARL AXIAP, répartie sur plusieurs sites tels qu'Albi, Gaillac et Castres, témoigne d'une présence ancrée dans une diversité de contextes géographiques. Cette implantation multisites suggère une maîtrise de problématiques variées, des zones urbaines denses aux environnements ruraux. Cette polyvalence territoriale est essentielle pour appréhender la complexité des enjeux fonciers et nécessite une capacité d'adaptation constante face aux spécificités locales de chaque zone d'intervention.</w:t>
      </w:r>
    </w:p>
    <w:p>
      <w:pPr>
        <w:spacing w:line="276" w:lineRule="auto" w:before="0" w:after="160"/>
        <w:jc w:val="both"/>
      </w:pPr>
      <w:r>
        <w:t>Mon parcours universitaire de recherche m'a doté d'une forte culture de la donnée spatiale et d'une solide capacité d'analyse face aux problématiques complexes. Je maîtrise les outils de traitement de données, notamment les SIG, le scanner 3D et la programmation Python, que je considère comme des leviers d'aide à la décision. Mon objectif est de mettre cette force de production technique au service de vos opérations d'aménagement, tout en m'appuyant sur ma méthode de chercheur pour assimiler rapidement le cadre réglementaire.</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Delcros,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