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Clémence Budin (Le Borgne)</w:t>
      </w:r>
    </w:p>
    <w:p>
      <w:pPr>
        <w:spacing w:line="240" w:lineRule="auto" w:before="0" w:after="0"/>
        <w:jc w:val="right"/>
      </w:pPr>
      <w:r>
        <w:t>AGEIS</w:t>
      </w:r>
    </w:p>
    <w:p>
      <w:pPr>
        <w:spacing w:line="240" w:lineRule="auto" w:before="0" w:after="0"/>
        <w:jc w:val="right"/>
      </w:pPr>
      <w:r>
        <w:t>3 rue de la Planchonnais</w:t>
      </w:r>
    </w:p>
    <w:p>
      <w:pPr>
        <w:spacing w:line="240" w:lineRule="auto" w:before="0" w:after="0"/>
        <w:jc w:val="right"/>
      </w:pPr>
      <w:r>
        <w:t>44980 STE LUCE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AGEIS se distingue par une approche pluridisciplinaire et une maîtrise avancée des outils numériques (scanning laser 3D, modélisation 3D BIM). Votre capacité à accompagner les projets sur l'ensemble de leur cycle, de la conception VRD à l'expertise foncière, témoigne d'une solide expérience reconnue dans le Grand Ouest. Cette vision globale, alliant technicité de pointe et gestion des contraintes environnementales, constitue un cadre de référence pour la gestion de projets d'aménagement complexes et structurants.</w:t>
      </w:r>
    </w:p>
    <w:p>
      <w:pPr>
        <w:spacing w:line="276" w:lineRule="auto" w:before="0" w:after="160"/>
        <w:jc w:val="both"/>
      </w:pPr>
      <w:r>
        <w:t>En sollicitant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utilisant ma méthode de chercheur pour assimiler rapidement le cadre réglementaire de la profession. Je conçois ce stage comme un échange entre la rigueur de la donnée et l'expertise juridique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