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Maiore</w:t>
      </w:r>
    </w:p>
    <w:p>
      <w:pPr>
        <w:spacing w:line="240" w:lineRule="auto" w:before="0" w:after="0"/>
        <w:jc w:val="right"/>
      </w:pPr>
      <w:r>
        <w:t>PIERRE - GE</w:t>
      </w:r>
    </w:p>
    <w:p>
      <w:pPr>
        <w:spacing w:line="240" w:lineRule="auto" w:before="0" w:after="0"/>
        <w:jc w:val="right"/>
      </w:pPr>
      <w:r>
        <w:t>21 Rue de la Rosière d'Artois</w:t>
      </w:r>
    </w:p>
    <w:p>
      <w:pPr>
        <w:spacing w:line="240" w:lineRule="auto" w:before="0" w:after="0"/>
        <w:jc w:val="right"/>
      </w:pPr>
      <w:r>
        <w:t>44100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réaliser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fondé en 1999, témoigne d'une assise solide et d'une maîtrise éprouvée du cœur de métier. Cette longévité dans le paysage nantais suggère une expertise ancrée dans la continuité et une connaissance fine des enjeux fonciers locaux. Je perçois dans votre structure une volonté de pérennité et une approche de proximité garantissant un cadre de travail exigeant, idéal pour assurer une transmission de savoirs de qualité et mener à bien vos missions de précision.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Maiore,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