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Pierre Riot</w:t>
      </w:r>
    </w:p>
    <w:p>
      <w:pPr>
        <w:spacing w:line="240" w:lineRule="auto" w:before="0" w:after="0"/>
        <w:jc w:val="right"/>
      </w:pPr>
      <w:r>
        <w:t>Cabinet RIOT</w:t>
      </w:r>
    </w:p>
    <w:p>
      <w:pPr>
        <w:spacing w:line="240" w:lineRule="auto" w:before="0" w:after="0"/>
        <w:jc w:val="right"/>
      </w:pPr>
      <w:r>
        <w:t>3 rue de Saint Brévin</w:t>
      </w:r>
    </w:p>
    <w:p>
      <w:pPr>
        <w:spacing w:line="240" w:lineRule="auto" w:before="0" w:after="0"/>
        <w:jc w:val="right"/>
      </w:pPr>
      <w:r>
        <w:t>44100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Riot,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de trois à cinq collaborateurs, témoigne d'une structure où la maîtrise du cœur de métier et la proximité avec la clientèle sont centrales. Votre implantation sur Nantes et Grandchamps des Fontaines souligne une présence ancrée dans des contextes géographiques variés, impliquant une polyvalence constante dans la gestion des problématiques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Riot,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