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Monsieur,</w:t>
      </w:r>
    </w:p>
    <w:p>
      <w:pPr>
        <w:spacing w:line="240" w:lineRule="auto" w:before="0" w:after="0"/>
        <w:jc w:val="right"/>
      </w:pPr>
      <w:r>
        <w:t>BRANLY &amp; Associés</w:t>
      </w:r>
    </w:p>
    <w:p>
      <w:pPr>
        <w:spacing w:line="240" w:lineRule="auto" w:before="0" w:after="0"/>
        <w:jc w:val="right"/>
      </w:pPr>
      <w:r>
        <w:t>48 rue Mal Leclerc BP 103</w:t>
      </w:r>
    </w:p>
    <w:p>
      <w:pPr>
        <w:spacing w:line="240" w:lineRule="auto" w:before="0" w:after="0"/>
        <w:jc w:val="right"/>
      </w:pPr>
      <w:r>
        <w:t>49413 SAUMUR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et règles d’urbanisme pour sécuriser des projets de bornage, de division ou d’aménagement durable.</w:t>
      </w:r>
    </w:p>
    <w:p>
      <w:pPr>
        <w:spacing w:line="276" w:lineRule="auto" w:before="0" w:after="160"/>
        <w:jc w:val="both"/>
      </w:pPr>
      <w:r>
        <w:t>Le cabinet BRANLY &amp; Associés se distingue par une approche rigoureuse de la sécurité factuelle du patrimoine foncier. Votre positionnement, plaçant le géomètre-expert comme garant de la réalité physique du terrain face à la simple preuve de transaction notariale, fait écho à une vision centrée sur la protection du client. Votre présence sur plusieurs sites dans le Grand Ouest, alliée à une équipe pluridisciplinaire, témoigne d'une volonté d'accompagnement complet et d'une expertise pointue, notamment dans la gestion des cavités souterraines. Cette capacité à conjuguer conseils et maîtrise technique constitue un cadre de travail structurant.</w:t>
      </w:r>
    </w:p>
    <w:p>
      <w:pPr>
        <w:spacing w:line="276" w:lineRule="auto" w:before="0" w:after="160"/>
        <w:jc w:val="both"/>
      </w:pPr>
      <w:r>
        <w:t>Mon parcours m'a doté d'une forte culture de la donnée spatiale et d'une solide capacité d'analyse. Mon objectif est de mettre cette force technique au service de vos opérations d'aménagement, tout en m'appuyant sur ma méthode de chercheur pour assimiler le cadre réglementaire. Je conçois ce stage comme un échange de compétences entre la rigueur de la donnée et l'expertise du droit foncier. Ma formation doctorale m'a préparé à une analyse fine des archives, compétence que je souhaite mettre à profit pour traiter vos dossiers.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