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HAMEL GE ANJOU</w:t>
      </w:r>
    </w:p>
    <w:p>
      <w:pPr>
        <w:spacing w:line="240" w:lineRule="auto" w:before="0" w:after="0"/>
        <w:jc w:val="right"/>
      </w:pPr>
      <w:r>
        <w:t>35 rue du Nid de Pie</w:t>
      </w:r>
    </w:p>
    <w:p>
      <w:pPr>
        <w:spacing w:line="240" w:lineRule="auto" w:before="0" w:after="0"/>
        <w:jc w:val="right"/>
      </w:pPr>
      <w:r>
        <w:t>49100 ANGERS</w:t>
      </w:r>
    </w:p>
    <w:p>
      <w:pPr>
        <w:spacing w:before="0" w:after="0" w:line="240" w:lineRule="auto"/>
      </w:pPr>
    </w:p>
    <w:p>
      <w:pPr>
        <w:spacing w:before="0" w:after="0" w:line="240" w:lineRule="auto"/>
      </w:pPr>
    </w:p>
    <w:p>
      <w:pPr>
        <w:spacing w:line="276" w:lineRule="auto" w:before="0" w:after="0"/>
        <w:jc w:val="both"/>
      </w:pPr>
      <w:r>
        <w:t>Madame, Monsieur,</w:t>
      </w:r>
    </w:p>
    <w:p>
      <w:pPr>
        <w:spacing w:before="0" w:after="0" w:line="276" w:lineRule="auto"/>
      </w:pP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à Angers se distingue par une approche rigoureuse du cœur de métier. Votre ancrage local témoigne d'une maîtrise essentielle des enjeux fonciers et d'une proximité avec les acteurs locaux. Cette alliance entre expertise technique et connaissance approfondie du territoire constitue un cadre de référence pour appréhender la complexité des missions de bornage, de division et d'aménagement. La pérennité de votre activité repose sur cette capacité à concilier précision technique et compréhension des réalités du terrain.</w:t>
      </w:r>
    </w:p>
    <w:p>
      <w:pPr>
        <w:spacing w:line="276" w:lineRule="auto" w:before="0" w:after="160"/>
        <w:jc w:val="both"/>
      </w:pPr>
      <w:r>
        <w:t>Mon parcours m'a doté d'une forte culture de la donnée spatiale et d'une solide capacité d'analyse face aux problématiques complexes. Mon objectif est de mettre cette force de production au service de vos opérations, tout en mobilisant ma méthode de chercheur pour assimiler rapidement le cadre réglementaire de la profession. Je conçois ce stage comme un échange entre la rigueur de la donnée et l'expertise du droit foncier, visant à transformer des informations brutes en outils d'aide à la décision pour vos clients.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afin de contribuer efficacement à la réussite de vos projets.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