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LIGEIS</w:t>
      </w:r>
    </w:p>
    <w:p>
      <w:pPr>
        <w:spacing w:line="240" w:lineRule="auto" w:before="0" w:after="0"/>
        <w:jc w:val="right"/>
      </w:pPr>
      <w:r>
        <w:t>4 quai des Carmes CS 62257</w:t>
      </w:r>
    </w:p>
    <w:p>
      <w:pPr>
        <w:spacing w:line="240" w:lineRule="auto" w:before="0" w:after="0"/>
        <w:jc w:val="right"/>
      </w:pPr>
      <w:r>
        <w:t>49022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au sein du cabinet de Monsieur Pascal Vailles à Muret (31), je soumets aujourd'hui ma candidature avec l'ambition de m'investir pleinement au sein d'une structure reconnue.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LIGEIS se distingue par une présence historique solide, structurée autour de trois pôles complémentaires : les Géomètres-Experts, l'Immobilier et le Bureau d'Études VRD. Cette organisation permet d'accompagner des projets d'envergure avec une approche sur mesure, allant de la maîtrise d'œuvre à la gestion de copropriété ou de divisions complexes. Votre savoir-faire, ancré dans une connaissance précise du marché angevin tout en couvrant le Grand Ouest, témoigne d'une capacité à apporter des réponses spécifiques aux problématiques les plus exigeantes.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