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Harry Langevin</w:t>
      </w:r>
    </w:p>
    <w:p>
      <w:pPr>
        <w:spacing w:line="240" w:lineRule="auto" w:before="0" w:after="0"/>
        <w:jc w:val="right"/>
      </w:pPr>
      <w:r>
        <w:t>LANGEVIN Harry SARL de Géomètres-Experts</w:t>
      </w:r>
    </w:p>
    <w:p>
      <w:pPr>
        <w:spacing w:line="240" w:lineRule="auto" w:before="0" w:after="0"/>
        <w:jc w:val="right"/>
      </w:pPr>
      <w:r>
        <w:t>3 route de Marigné Peuton</w:t>
      </w:r>
    </w:p>
    <w:p>
      <w:pPr>
        <w:spacing w:line="240" w:lineRule="auto" w:before="0" w:after="0"/>
        <w:jc w:val="right"/>
      </w:pPr>
      <w:r>
        <w:t>53200 CHATEAU GONTIER SUR MAYENNE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Langevin,</w:t>
      </w:r>
    </w:p>
    <w:p>
      <w:pPr>
        <w:spacing w:line="276" w:lineRule="auto" w:before="0" w:after="160"/>
        <w:jc w:val="both"/>
      </w:pPr>
      <w:r>
        <w:t>Actuellement engagé dans une reconversion vers le métier de géomètre-expert, je prépare ma candidature au DPLG d'octobre 2026. L'Ordre m'ayant confirmé l'éligibilité de mon parcours, je recherche un poste de collaborateur pour mon stage professionnel de deux ans. Suite à un stage d’observation instructif chez Monsieur Pascal Vailles à Muret,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ses trois implantations couvrant une diversité de territoires, des zones rurales aux pôles urbains. Cette structure géographique témoigne d'une capacité à intervenir sur une grande variété de problématiques foncières et d'une maîtrise approfondie des spécificités locales. Cette polyvalence territoriale offre un cadre d'exercice complet pour la pratique du métier, garantissant une approche globale des enjeux d’aménagement et de gestion du foncier.</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Langevin,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