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BONNARD</w:t>
      </w:r>
    </w:p>
    <w:p>
      <w:pPr>
        <w:spacing w:line="240" w:lineRule="auto" w:before="0" w:after="0"/>
        <w:jc w:val="right"/>
      </w:pPr>
      <w:r>
        <w:t>15 rue Luneau BP 584</w:t>
      </w:r>
    </w:p>
    <w:p>
      <w:pPr>
        <w:spacing w:line="240" w:lineRule="auto" w:before="0" w:after="0"/>
        <w:jc w:val="right"/>
      </w:pPr>
      <w:r>
        <w:t>85015 LA ROCHE SUR YON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instructif au cabinet de Monsieur Pascal Vailles à Muret (31), je dépose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présence sur plusieurs sites, notamment à La Roche-sur-Yon et à Challans. Cette implantation suggère une diversité de missions et une connaissance de contextes territoriaux variés. Elle témoigne d'une capacité à intervenir sur des problématiques diversifiées, allant des zones urbaines aux environnements ruraux, tout en assurant une couverture géographique étendue et une grande réactivité face aux besoins spécifiques de vos clients.</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au profit d'une collaboration mutuelle.</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graphique. Ces semaines m’ont permis de mesurer que les outils techniques ne prennent leur pleine valeur que lorsqu’ils viennent appuyer un raisonnement juridique. Conscient que la maîtrise opérationnelle s’acquiert par la pratique, je suis pleinement motivé pour apporter rapidement mon concours technique sur le terrain comme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