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Philippe Richard</w:t>
      </w:r>
    </w:p>
    <w:p>
      <w:pPr>
        <w:spacing w:line="240" w:lineRule="auto" w:before="0" w:after="0"/>
        <w:jc w:val="right"/>
      </w:pPr>
      <w:r>
        <w:t>Cabinet RICHARD Philippe</w:t>
      </w:r>
    </w:p>
    <w:p>
      <w:pPr>
        <w:spacing w:line="240" w:lineRule="auto" w:before="0" w:after="0"/>
        <w:jc w:val="right"/>
      </w:pPr>
      <w:r>
        <w:t>115 Impasse de l'Arpentaire</w:t>
      </w:r>
    </w:p>
    <w:p>
      <w:pPr>
        <w:spacing w:line="240" w:lineRule="auto" w:before="0" w:after="0"/>
        <w:jc w:val="right"/>
      </w:pPr>
      <w:r>
        <w:t>04100 MANOSQUE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Suite à un stage d’observation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établi à Manosque depuis 2003, incarne une pratique de proximité où la maîtrise du cœur de métier est primordiale. Votre structure à taille humaine témoigne d'une volonté de suivre chaque dossier avec rigueur, garantissant une qualité de service et une expertise technique ancrée dans les réalités locales. Cette approche, centrée sur la fiabilité et la connaissance directe des problématiques foncières, souligne une expertise de terrain solide et une maîtrise approfondie du territoire.</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