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Stephane Bontoux</w:t>
      </w:r>
    </w:p>
    <w:p>
      <w:pPr>
        <w:spacing w:line="240" w:lineRule="auto" w:before="0" w:after="0"/>
        <w:jc w:val="right"/>
      </w:pPr>
      <w:r>
        <w:t>SARL Cabinet TOULEMONDE-BONTOUX</w:t>
      </w:r>
    </w:p>
    <w:p>
      <w:pPr>
        <w:spacing w:line="240" w:lineRule="auto" w:before="0" w:after="0"/>
        <w:jc w:val="right"/>
      </w:pPr>
      <w:r>
        <w:t>Micropolis - Quartier Belle Aureille Bât IC5</w:t>
      </w:r>
    </w:p>
    <w:p>
      <w:pPr>
        <w:spacing w:line="240" w:lineRule="auto" w:before="0" w:after="0"/>
        <w:jc w:val="right"/>
      </w:pPr>
      <w:r>
        <w:t>05000 GAP</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Bontoux,</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et règles d’urbanisme pour sécuriser des projets, qu’il s’agisse de bornage, de division ou d’aménagement durable.</w:t>
      </w:r>
    </w:p>
    <w:p>
      <w:pPr>
        <w:spacing w:line="276" w:lineRule="auto" w:before="0" w:after="160"/>
        <w:jc w:val="both"/>
      </w:pPr>
      <w:r>
        <w:t>Le cabinet TOULEMONDE-BONTOUX se distingue par son implantation stratégique sur plusieurs secteurs clés, tels que Gap, Barcelonnettes et Embrun. Cette présence multisite témoigne d'une capacité à intervenir sur une grande diversité de territoires, des zones urbaines aux environnements de montagne. Une telle polyvalence géographique implique une maîtrise fine des spécificités locales et une adaptabilité constante face aux enjeux fonciers variés propres à chaque zone d'intervention.</w:t>
      </w:r>
    </w:p>
    <w:p>
      <w:pPr>
        <w:spacing w:line="276" w:lineRule="auto" w:before="0" w:after="160"/>
        <w:jc w:val="both"/>
      </w:pPr>
      <w:r>
        <w:t>Mon parcours m'a doté d'une forte culture de la donnée spatiale (topographie, modélisation, SIG, traitement Python)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Bontoux,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