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Michel Fiker</w:t>
      </w:r>
    </w:p>
    <w:p>
      <w:pPr>
        <w:spacing w:line="240" w:lineRule="auto" w:before="0" w:after="0"/>
        <w:jc w:val="right"/>
      </w:pPr>
      <w:r>
        <w:t>SAS ALTA VISION</w:t>
      </w:r>
    </w:p>
    <w:p>
      <w:pPr>
        <w:spacing w:line="240" w:lineRule="auto" w:before="0" w:after="0"/>
        <w:jc w:val="right"/>
      </w:pPr>
      <w:r>
        <w:t>76 avenue des Alpes</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Fiker,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pérennité de votre cabinet, implanté depuis 2000, témoigne d'une solide expertise et d'une maîtrise approfondie du cœur de métier au service d'une clientèle exigeante. Votre structure à taille humaine permet d'allier réactivité opérationnelle et connaissance précise des problématiques foncières locales. Cette stabilité institutionnelle, alliée à une présence ancrée dans son environnement, garantit une approche qualitative et une expertise consolidée dans la gestion complexe des dossiers.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Fiker,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