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SAS SEGC</w:t>
      </w:r>
    </w:p>
    <w:p>
      <w:pPr>
        <w:spacing w:line="240" w:lineRule="auto" w:before="0" w:after="0"/>
        <w:jc w:val="right"/>
      </w:pPr>
      <w:r>
        <w:t>44 avenue de la Colle</w:t>
      </w:r>
    </w:p>
    <w:p>
      <w:pPr>
        <w:spacing w:line="240" w:lineRule="auto" w:before="0" w:after="0"/>
        <w:jc w:val="right"/>
      </w:pPr>
      <w:r>
        <w:t>06800 CAGNES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postule avec la volonté de m'investir pleinement dans votre structure, tout en étant mobile selon vos besoins.</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1983, témoigne d'une solide expérience et d'une connaissance approfondie du patrimoine foncier local. Cette longévité suggère une maîtrise confirmée des spécificités géographiques et juridiques de Cagnes-sur-Mer, ainsi qu'une capacité à traiter des dossiers complexes avec une expertise éprouvée. Votre ancrage historique constitue un cadre structurant où la continuité de l'expertise garantit la qualité des interventions en matière de bornage ou d'aménagement durable.</w:t>
      </w:r>
    </w:p>
    <w:p>
      <w:pPr>
        <w:spacing w:line="276" w:lineRule="auto" w:before="0" w:after="160"/>
        <w:jc w:val="both"/>
      </w:pPr>
      <w:r>
        <w:t>Mon parcours m'a doté d'une forte culture de la donnée spatiale, incluant la topographie et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technique et l'expertise fine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