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ARPENTEURS GEOMETRES</w:t>
      </w:r>
    </w:p>
    <w:p>
      <w:pPr>
        <w:spacing w:line="240" w:lineRule="auto" w:before="0" w:after="0"/>
        <w:jc w:val="right"/>
      </w:pPr>
      <w:r>
        <w:t>1 Impasse Trianon</w:t>
      </w:r>
    </w:p>
    <w:p>
      <w:pPr>
        <w:spacing w:line="240" w:lineRule="auto" w:before="0" w:after="0"/>
        <w:jc w:val="right"/>
      </w:pPr>
      <w:r>
        <w:t>06600 ANTIBES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et ingénierie juridique du territoire. Au-delà de la pratique de terrain, c’est la dimension intellectuelle qui me motive : confronter archives, réalités matérielles et règles d'urbanisme pour sécuriser les projets de bornage, de division ou d'aménagement durable.</w:t>
      </w:r>
    </w:p>
    <w:p>
      <w:pPr>
        <w:spacing w:line="276" w:lineRule="auto" w:before="0" w:after="160"/>
        <w:jc w:val="both"/>
      </w:pPr>
      <w:r>
        <w:t>Votre cabinet se distingue par une maîtrise affirmée du cœur de métier et une présence ancrée à Antibes. Cette expertise, alliée à une approche de proximité, garantit une sécurisation rigoureuse des opérations foncières. En privilégiant la qualité technique et la précision du conseil, votre structure offre un cadre idéal pour appréhender les réalités du terrain et assurer une transmission efficace des savoir-faire essentiels.</w:t>
      </w:r>
    </w:p>
    <w:p>
      <w:pPr>
        <w:spacing w:line="276" w:lineRule="auto" w:before="0" w:after="160"/>
        <w:jc w:val="both"/>
      </w:pPr>
      <w:r>
        <w:t>En rejoignant la SELARL ARPENTEURS GEOMETRES, je souhaite m'engager durablement pour préparer mon diplôme. Mon parcours m'a doté d'une forte culture de la donnée spatiale (topographie, modélisation) et d'une solide capacité d'analyse face aux problématiques complexes. Je souhaite mettre cette force technique au service de vos opérations tout en mobilisant ma méthode de recherche pour assimiler rapidement le cadre réglementaire. Ce stage constitue pour moi un échange entre rigueur des données et expertise du droit foncier.</w:t>
      </w:r>
    </w:p>
    <w:p>
      <w:pPr>
        <w:spacing w:line="276" w:lineRule="auto" w:before="0" w:after="160"/>
        <w:jc w:val="both"/>
      </w:pPr>
      <w:r>
        <w:t>Lors de ma récente immersion en cabinet, j'ai acquis une maîtrise rapide des méthodes de production, de l’acquisition sur le terrain à la restitution graphique. J'y ai compris que les outils techniques ne prennent leur pleine valeur qu'en appuyant un raisonnement juridique.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