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FARGUES SELARL de Géomètres-Experts</w:t>
      </w:r>
    </w:p>
    <w:p>
      <w:pPr>
        <w:spacing w:line="240" w:lineRule="auto" w:before="0" w:after="0"/>
        <w:jc w:val="right"/>
      </w:pPr>
      <w:r>
        <w:t>À l’attention de Monsieur Frédéric Fargues</w:t>
      </w:r>
    </w:p>
    <w:p>
      <w:pPr>
        <w:spacing w:line="240" w:lineRule="auto" w:before="0" w:after="0"/>
        <w:jc w:val="right"/>
      </w:pPr>
      <w:r>
        <w:t>30 Route de Cabriès Quartier Violési</w:t>
      </w:r>
    </w:p>
    <w:p>
      <w:pPr>
        <w:spacing w:line="240" w:lineRule="auto" w:before="0" w:after="0"/>
        <w:jc w:val="right"/>
      </w:pPr>
      <w:r>
        <w:t>13320 BOUC BEL AIR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Fargues,</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m'investir pleinement dans une équipe établie et exigeante.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Fargues se distingue par une présence solide depuis 1988, témoignant d'une maîtrise affirmée du cœur de métier et des problématiques foncières locales. La dimension humaine de votre structure, avec une équipe à taille réduite, garantit une approche de proximité où la transmission des savoirs et la qualité du suivi des dossiers sont prioritaires.</w:t>
      </w:r>
    </w:p>
    <w:p>
      <w:pPr>
        <w:spacing w:line="276" w:lineRule="auto" w:before="0" w:after="160"/>
        <w:jc w:val="both"/>
      </w:pPr>
      <w:r>
        <w:t>Mon parcours universitaire m'a doté d'une forte culture de la donnée spatiale et d'une solide capacité d'analyse face aux problématiques complexes. Mon objectif est de mettre ma maîtrise technique — incluant les données SIG, le relevé 3D/LiDAR et la programmation Python pour le traitement de données — au service de vos opérations, tout en utilisant ma méthodologie de chercheur pour assimiler rapidement le cadre réglementaire. Je conçois ce stage comme un échange entre rigueur de la donnée et expertise du droit foncier.</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appui technique en bureau et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Fargues,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