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SCP Philippe MANFREDI</w:t>
      </w:r>
    </w:p>
    <w:p>
      <w:pPr>
        <w:spacing w:line="240" w:lineRule="auto" w:before="0" w:after="0"/>
        <w:jc w:val="right"/>
      </w:pPr>
      <w:r>
        <w:t>23 avenue Henri Malacrida Bello Visto Bât C 1°étage</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professionnelle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reconnue pour son expertise et son dynamisme, afin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SCP Philippe MANFREDI se distingue par une maîtrise du cœur de métier et une connaissance approfondie des enjeux fonciers locaux. Votre implantation à Aix-en-Provence témoigne d'un ancrage territorial fort, permettant d'accompagner des projets variés exigeant précision technique et compréhension fine des spécificités locales. Cette approche, centrée sur la qualité de l'expertise et la proximité avec les acteurs, constitue un environnement idéal pour une montée en compétences sérieuse.</w:t>
      </w:r>
    </w:p>
    <w:p>
      <w:pPr>
        <w:spacing w:line="276" w:lineRule="auto" w:before="0" w:after="160"/>
        <w:jc w:val="both"/>
      </w:pPr>
      <w:r>
        <w:t>Mon parcours universitaire m'a doté d'une solide culture de la donnée spatiale (topographie, modélisation) et d'une forte capacité d'analyse face à des problématiques complexes. Mon objectif est de mettre cette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précis. Conscient que la maîtrise opérationnelle s’acquiert par la pratique quotidienne, je suis motivé pour apporter rapidement ma contribution technique tant sur le terrain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