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avancée, notamment par l'intégration de la photogrammétrie par drone et de la modélisation 3D au service de la maquette numérique BIM. Cette capacité à donner forme et lisibilité aux projets, tout en assurant un suivi de chantier précis, témoigne d'une volonté constante d'innovation. Votre présence multi-agences dans le Var et les Pyrénées-Orientales souligne une expertise solide, capable de répondre à des projets variés tant sur le plan technique que réglementaire.</w:t>
      </w:r>
    </w:p>
    <w:p>
      <w:pPr>
        <w:spacing w:line="276" w:lineRule="auto" w:before="0" w:after="160"/>
        <w:jc w:val="both"/>
      </w:pPr>
      <w:r>
        <w:t>Mon parcours universitaire de recherche m'a doté d'une forte culture de la donnée spatiale et d'une solide capacité d'analyse face aux problématiques complexes. Ma sensibilité pour le traitement de données (SIG, scanner 3D, programmation Python) appuiera vos opérations de modélisation et d'aménagement. Mon objectif est d'appuyer vos méthodes de production technique par une rigueur de travail éprouvée,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