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Sylvain Fautrelle</w:t>
      </w:r>
    </w:p>
    <w:p>
      <w:pPr>
        <w:spacing w:line="240" w:lineRule="auto" w:before="0" w:after="0"/>
        <w:jc w:val="right"/>
      </w:pPr>
      <w:r>
        <w:t>SELARL Cabinet GRIMONT</w:t>
      </w:r>
    </w:p>
    <w:p>
      <w:pPr>
        <w:spacing w:line="240" w:lineRule="auto" w:before="0" w:after="0"/>
        <w:jc w:val="right"/>
      </w:pPr>
      <w:r>
        <w:t>97 avenue Pierre Semard</w:t>
      </w:r>
    </w:p>
    <w:p>
      <w:pPr>
        <w:spacing w:line="240" w:lineRule="auto" w:before="0" w:after="0"/>
        <w:jc w:val="right"/>
      </w:pPr>
      <w:r>
        <w:t>84200 CARPENTRAS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Fautrelle,</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effectuer mon stage professionnel de deux ans. À la suite d’un stage d’observation instructif au sein du cabinet de Monsieur Pascal Vailles à Muret, je dépose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Le Cabinet GRIMONT se distingue par une structure à taille humaine, permettant une approche de proximité et une maîtrise rigoureuse du cœur du métier. Votre implantation à Carpentras depuis 2013 témoigne d'une assise solide et d'une connaissance approfondie du territoire local. Cette dimension artisanale, alliée à une gestion maîtrisée des dossiers, offre un cadre idéal pour un apprentissage de qualité, où la précision technique et la relation client sont placées au centre des préoccupations.</w:t>
      </w:r>
    </w:p>
    <w:p>
      <w:pPr>
        <w:spacing w:line="276" w:lineRule="auto" w:before="0" w:after="160"/>
        <w:jc w:val="both"/>
      </w:pPr>
      <w:r>
        <w:t>Mon parcours universitaire de recherche m'a doté d'une forte culture de la donnée spatiale et d'une solide capacité d'analyse face aux problématiques complexes. Mon objectif est de mettre cette sensibilité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Fautrelle,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