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EE01" w14:textId="43F4701D" w:rsidR="00A9678C" w:rsidRPr="0044248B" w:rsidRDefault="006B004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4248B">
        <w:rPr>
          <w:rFonts w:ascii="Times New Roman" w:hAnsi="Times New Roman" w:cs="Times New Roman"/>
          <w:color w:val="0070C0"/>
          <w:sz w:val="28"/>
          <w:szCs w:val="28"/>
        </w:rPr>
        <w:t xml:space="preserve">Data Accessibility </w:t>
      </w:r>
      <w:r w:rsidR="00C911BF" w:rsidRPr="0044248B">
        <w:rPr>
          <w:rFonts w:ascii="Times New Roman" w:hAnsi="Times New Roman" w:cs="Times New Roman"/>
          <w:color w:val="0070C0"/>
          <w:sz w:val="28"/>
          <w:szCs w:val="28"/>
        </w:rPr>
        <w:t xml:space="preserve">Statement </w:t>
      </w:r>
      <w:r w:rsidRPr="0044248B">
        <w:rPr>
          <w:rFonts w:ascii="Times New Roman" w:hAnsi="Times New Roman" w:cs="Times New Roman"/>
          <w:color w:val="0070C0"/>
          <w:sz w:val="28"/>
          <w:szCs w:val="28"/>
        </w:rPr>
        <w:t>for GCB-B-OR-21-097</w:t>
      </w:r>
    </w:p>
    <w:p w14:paraId="137DD0C5" w14:textId="5CBECCF0" w:rsidR="00C911BF" w:rsidRPr="0044248B" w:rsidRDefault="00C911BF" w:rsidP="004424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890B5D" w14:textId="5848D739" w:rsidR="00C911BF" w:rsidRPr="0044248B" w:rsidRDefault="00C911BF" w:rsidP="0044248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2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Two birds with one stone: a combined environmental and economic performance assessment of </w:t>
      </w:r>
      <w:proofErr w:type="gramStart"/>
      <w:r w:rsidRPr="00442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rapeseed based</w:t>
      </w:r>
      <w:proofErr w:type="gramEnd"/>
      <w:r w:rsidRPr="00442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biodiesel production</w:t>
      </w:r>
    </w:p>
    <w:p w14:paraId="7D757BDF" w14:textId="77777777" w:rsidR="0044248B" w:rsidRPr="0044248B" w:rsidRDefault="0044248B" w:rsidP="0044248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859CDE" w14:textId="1F1E15DF" w:rsidR="00C911BF" w:rsidRPr="008224F4" w:rsidRDefault="00C911BF" w:rsidP="0044248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vertAlign w:val="superscript"/>
          <w:lang w:bidi="en-US"/>
        </w:rPr>
      </w:pPr>
      <w:r w:rsidRPr="008224F4">
        <w:rPr>
          <w:rFonts w:ascii="Times New Roman" w:hAnsi="Times New Roman" w:cs="Times New Roman"/>
          <w:lang w:bidi="en-US"/>
        </w:rPr>
        <w:t xml:space="preserve">Xueqing Yang </w:t>
      </w:r>
      <w:r w:rsidRPr="008224F4">
        <w:rPr>
          <w:rFonts w:ascii="Times New Roman" w:hAnsi="Times New Roman" w:cs="Times New Roman"/>
          <w:vertAlign w:val="superscript"/>
          <w:lang w:bidi="en-US"/>
        </w:rPr>
        <w:t>1,2</w:t>
      </w:r>
      <w:r w:rsidRPr="008224F4">
        <w:rPr>
          <w:rFonts w:ascii="Times New Roman" w:hAnsi="Times New Roman" w:cs="Times New Roman"/>
          <w:lang w:bidi="en-US"/>
        </w:rPr>
        <w:t xml:space="preserve">*, Yang Liu </w:t>
      </w:r>
      <w:r w:rsidRPr="008224F4">
        <w:rPr>
          <w:rFonts w:ascii="Times New Roman" w:hAnsi="Times New Roman" w:cs="Times New Roman"/>
          <w:vertAlign w:val="superscript"/>
          <w:lang w:bidi="en-US"/>
        </w:rPr>
        <w:t>3</w:t>
      </w:r>
      <w:r w:rsidRPr="008224F4">
        <w:rPr>
          <w:rFonts w:ascii="Times New Roman" w:hAnsi="Times New Roman" w:cs="Times New Roman"/>
          <w:lang w:bidi="en-US"/>
        </w:rPr>
        <w:t xml:space="preserve">, Alberto Bezama </w:t>
      </w:r>
      <w:r w:rsidRPr="008224F4">
        <w:rPr>
          <w:rFonts w:ascii="Times New Roman" w:hAnsi="Times New Roman" w:cs="Times New Roman"/>
          <w:vertAlign w:val="superscript"/>
          <w:lang w:bidi="en-US"/>
        </w:rPr>
        <w:t>1</w:t>
      </w:r>
      <w:r w:rsidRPr="008224F4">
        <w:rPr>
          <w:rFonts w:ascii="Times New Roman" w:hAnsi="Times New Roman" w:cs="Times New Roman"/>
          <w:lang w:bidi="en-US"/>
        </w:rPr>
        <w:t xml:space="preserve">, Daniela Thrän </w:t>
      </w:r>
      <w:r w:rsidRPr="008224F4">
        <w:rPr>
          <w:rFonts w:ascii="Times New Roman" w:hAnsi="Times New Roman" w:cs="Times New Roman"/>
          <w:vertAlign w:val="superscript"/>
          <w:lang w:bidi="en-US"/>
        </w:rPr>
        <w:t>1,4</w:t>
      </w:r>
    </w:p>
    <w:p w14:paraId="6039C93A" w14:textId="77777777" w:rsidR="0044248B" w:rsidRPr="008224F4" w:rsidRDefault="0044248B" w:rsidP="0044248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7ADFBF52" w14:textId="77777777" w:rsidR="00C911BF" w:rsidRPr="0044248B" w:rsidRDefault="00C911BF" w:rsidP="0044248B">
      <w:pPr>
        <w:pStyle w:val="MDPI16affiliation"/>
        <w:spacing w:line="240" w:lineRule="auto"/>
        <w:ind w:left="317" w:hanging="202"/>
        <w:rPr>
          <w:rFonts w:ascii="Times New Roman" w:hAnsi="Times New Roman"/>
          <w:color w:val="auto"/>
          <w:sz w:val="22"/>
          <w:szCs w:val="22"/>
        </w:rPr>
      </w:pPr>
      <w:r w:rsidRPr="0044248B">
        <w:rPr>
          <w:rFonts w:ascii="Times New Roman" w:hAnsi="Times New Roman"/>
          <w:color w:val="auto"/>
          <w:sz w:val="22"/>
          <w:szCs w:val="22"/>
          <w:vertAlign w:val="superscript"/>
        </w:rPr>
        <w:t>1</w:t>
      </w:r>
      <w:r w:rsidRPr="0044248B">
        <w:rPr>
          <w:rFonts w:ascii="Times New Roman" w:hAnsi="Times New Roman"/>
          <w:color w:val="auto"/>
          <w:sz w:val="22"/>
          <w:szCs w:val="22"/>
        </w:rPr>
        <w:tab/>
        <w:t xml:space="preserve">Department of Bioenergy, Helmholtz-Centre for Environmental Research (UFZ), </w:t>
      </w:r>
      <w:proofErr w:type="spellStart"/>
      <w:r w:rsidRPr="0044248B">
        <w:rPr>
          <w:rFonts w:ascii="Times New Roman" w:hAnsi="Times New Roman"/>
          <w:color w:val="auto"/>
          <w:sz w:val="22"/>
          <w:szCs w:val="22"/>
        </w:rPr>
        <w:t>Permoserstraße</w:t>
      </w:r>
      <w:proofErr w:type="spellEnd"/>
      <w:r w:rsidRPr="0044248B">
        <w:rPr>
          <w:rFonts w:ascii="Times New Roman" w:hAnsi="Times New Roman"/>
          <w:color w:val="auto"/>
          <w:sz w:val="22"/>
          <w:szCs w:val="22"/>
        </w:rPr>
        <w:t xml:space="preserve"> 15, 04318 Leipzig. Germany</w:t>
      </w:r>
    </w:p>
    <w:p w14:paraId="74BBA259" w14:textId="77777777" w:rsidR="00C911BF" w:rsidRPr="0044248B" w:rsidRDefault="00C911BF" w:rsidP="0044248B">
      <w:pPr>
        <w:pStyle w:val="MDPI16affiliation"/>
        <w:spacing w:line="240" w:lineRule="auto"/>
        <w:ind w:left="317" w:hanging="202"/>
        <w:rPr>
          <w:rFonts w:ascii="Times New Roman" w:eastAsiaTheme="minorEastAsia" w:hAnsi="Times New Roman"/>
          <w:color w:val="auto"/>
          <w:sz w:val="22"/>
          <w:szCs w:val="22"/>
          <w:lang w:eastAsia="zh-CN"/>
        </w:rPr>
      </w:pPr>
      <w:r w:rsidRPr="0044248B">
        <w:rPr>
          <w:rFonts w:ascii="Times New Roman" w:hAnsi="Times New Roman"/>
          <w:color w:val="auto"/>
          <w:sz w:val="22"/>
          <w:szCs w:val="22"/>
          <w:vertAlign w:val="superscript"/>
        </w:rPr>
        <w:t>2</w:t>
      </w:r>
      <w:r w:rsidRPr="0044248B">
        <w:rPr>
          <w:rFonts w:ascii="Times New Roman" w:hAnsi="Times New Roman"/>
          <w:color w:val="auto"/>
          <w:sz w:val="22"/>
          <w:szCs w:val="22"/>
        </w:rPr>
        <w:tab/>
        <w:t xml:space="preserve">Institute of Remote Sensing and Digital Agriculture, Sichuan Academy of Agricultural Sciences, </w:t>
      </w:r>
      <w:proofErr w:type="spellStart"/>
      <w:r w:rsidRPr="0044248B">
        <w:rPr>
          <w:rFonts w:ascii="Times New Roman" w:hAnsi="Times New Roman"/>
          <w:color w:val="auto"/>
          <w:sz w:val="22"/>
          <w:szCs w:val="22"/>
        </w:rPr>
        <w:t>Jingjusi</w:t>
      </w:r>
      <w:proofErr w:type="spellEnd"/>
      <w:r w:rsidRPr="0044248B">
        <w:rPr>
          <w:rFonts w:ascii="Times New Roman" w:hAnsi="Times New Roman"/>
          <w:color w:val="auto"/>
          <w:sz w:val="22"/>
          <w:szCs w:val="22"/>
        </w:rPr>
        <w:t xml:space="preserve"> road 20, Chengdu, China</w:t>
      </w:r>
    </w:p>
    <w:p w14:paraId="5D503062" w14:textId="77777777" w:rsidR="00C911BF" w:rsidRPr="0044248B" w:rsidRDefault="00C911BF" w:rsidP="0044248B">
      <w:pPr>
        <w:pStyle w:val="MDPI16affiliation"/>
        <w:spacing w:line="240" w:lineRule="auto"/>
        <w:ind w:left="317" w:hanging="202"/>
        <w:rPr>
          <w:rFonts w:ascii="Times New Roman" w:hAnsi="Times New Roman"/>
          <w:color w:val="auto"/>
          <w:sz w:val="22"/>
          <w:szCs w:val="22"/>
        </w:rPr>
      </w:pPr>
      <w:r w:rsidRPr="0044248B">
        <w:rPr>
          <w:rFonts w:ascii="Times New Roman" w:hAnsi="Times New Roman"/>
          <w:color w:val="auto"/>
          <w:sz w:val="22"/>
          <w:szCs w:val="22"/>
          <w:vertAlign w:val="superscript"/>
        </w:rPr>
        <w:t>3</w:t>
      </w:r>
      <w:r w:rsidRPr="0044248B">
        <w:rPr>
          <w:rFonts w:ascii="Times New Roman" w:hAnsi="Times New Roman"/>
          <w:color w:val="auto"/>
          <w:sz w:val="22"/>
          <w:szCs w:val="22"/>
        </w:rPr>
        <w:tab/>
        <w:t xml:space="preserve">Chair of Behavioral Finance, WHU-Otto </w:t>
      </w:r>
      <w:proofErr w:type="spellStart"/>
      <w:r w:rsidRPr="0044248B">
        <w:rPr>
          <w:rFonts w:ascii="Times New Roman" w:hAnsi="Times New Roman"/>
          <w:color w:val="auto"/>
          <w:sz w:val="22"/>
          <w:szCs w:val="22"/>
        </w:rPr>
        <w:t>Beisheim</w:t>
      </w:r>
      <w:proofErr w:type="spellEnd"/>
      <w:r w:rsidRPr="0044248B">
        <w:rPr>
          <w:rFonts w:ascii="Times New Roman" w:hAnsi="Times New Roman"/>
          <w:color w:val="auto"/>
          <w:sz w:val="22"/>
          <w:szCs w:val="22"/>
        </w:rPr>
        <w:t xml:space="preserve"> School of Management, </w:t>
      </w:r>
      <w:proofErr w:type="spellStart"/>
      <w:r w:rsidRPr="0044248B">
        <w:rPr>
          <w:rFonts w:ascii="Times New Roman" w:hAnsi="Times New Roman"/>
          <w:color w:val="auto"/>
          <w:sz w:val="22"/>
          <w:szCs w:val="22"/>
        </w:rPr>
        <w:t>Burgplatz</w:t>
      </w:r>
      <w:proofErr w:type="spellEnd"/>
      <w:r w:rsidRPr="0044248B">
        <w:rPr>
          <w:rFonts w:ascii="Times New Roman" w:hAnsi="Times New Roman"/>
          <w:color w:val="auto"/>
          <w:sz w:val="22"/>
          <w:szCs w:val="22"/>
        </w:rPr>
        <w:t xml:space="preserve"> 2, 56179 </w:t>
      </w:r>
      <w:proofErr w:type="spellStart"/>
      <w:r w:rsidRPr="0044248B">
        <w:rPr>
          <w:rFonts w:ascii="Times New Roman" w:hAnsi="Times New Roman"/>
          <w:color w:val="auto"/>
          <w:sz w:val="22"/>
          <w:szCs w:val="22"/>
        </w:rPr>
        <w:t>Vallendar</w:t>
      </w:r>
      <w:proofErr w:type="spellEnd"/>
      <w:r w:rsidRPr="0044248B">
        <w:rPr>
          <w:rFonts w:ascii="Times New Roman" w:hAnsi="Times New Roman"/>
          <w:color w:val="auto"/>
          <w:sz w:val="22"/>
          <w:szCs w:val="22"/>
        </w:rPr>
        <w:t>, Germany</w:t>
      </w:r>
    </w:p>
    <w:p w14:paraId="544CD987" w14:textId="2F5DA886" w:rsidR="00C911BF" w:rsidRPr="0044248B" w:rsidRDefault="00C911BF" w:rsidP="0044248B">
      <w:pPr>
        <w:pStyle w:val="MDPI16affiliation"/>
        <w:spacing w:line="240" w:lineRule="auto"/>
        <w:ind w:left="317" w:hanging="202"/>
        <w:rPr>
          <w:rFonts w:ascii="Times New Roman" w:hAnsi="Times New Roman"/>
          <w:color w:val="auto"/>
          <w:sz w:val="22"/>
          <w:szCs w:val="22"/>
          <w:lang w:val="de-DE"/>
        </w:rPr>
      </w:pPr>
      <w:r w:rsidRPr="0044248B">
        <w:rPr>
          <w:rFonts w:ascii="Times New Roman" w:hAnsi="Times New Roman"/>
          <w:color w:val="auto"/>
          <w:sz w:val="22"/>
          <w:szCs w:val="22"/>
          <w:vertAlign w:val="superscript"/>
          <w:lang w:val="de-DE"/>
        </w:rPr>
        <w:t>4</w:t>
      </w:r>
      <w:r w:rsidRPr="0044248B">
        <w:rPr>
          <w:rFonts w:ascii="Times New Roman" w:hAnsi="Times New Roman"/>
          <w:color w:val="auto"/>
          <w:sz w:val="22"/>
          <w:szCs w:val="22"/>
          <w:lang w:val="de-DE"/>
        </w:rPr>
        <w:tab/>
        <w:t xml:space="preserve">Department </w:t>
      </w:r>
      <w:proofErr w:type="spellStart"/>
      <w:r w:rsidRPr="0044248B">
        <w:rPr>
          <w:rFonts w:ascii="Times New Roman" w:hAnsi="Times New Roman"/>
          <w:color w:val="auto"/>
          <w:sz w:val="22"/>
          <w:szCs w:val="22"/>
          <w:lang w:val="de-DE"/>
        </w:rPr>
        <w:t>of</w:t>
      </w:r>
      <w:proofErr w:type="spellEnd"/>
      <w:r w:rsidRPr="0044248B">
        <w:rPr>
          <w:rFonts w:ascii="Times New Roman" w:hAnsi="Times New Roman"/>
          <w:color w:val="auto"/>
          <w:sz w:val="22"/>
          <w:szCs w:val="22"/>
          <w:lang w:val="de-DE"/>
        </w:rPr>
        <w:t xml:space="preserve"> </w:t>
      </w:r>
      <w:proofErr w:type="spellStart"/>
      <w:r w:rsidRPr="0044248B">
        <w:rPr>
          <w:rFonts w:ascii="Times New Roman" w:hAnsi="Times New Roman"/>
          <w:color w:val="auto"/>
          <w:sz w:val="22"/>
          <w:szCs w:val="22"/>
          <w:lang w:val="de-DE"/>
        </w:rPr>
        <w:t>Bioenergy</w:t>
      </w:r>
      <w:proofErr w:type="spellEnd"/>
      <w:r w:rsidRPr="0044248B">
        <w:rPr>
          <w:rFonts w:ascii="Times New Roman" w:hAnsi="Times New Roman"/>
          <w:color w:val="auto"/>
          <w:sz w:val="22"/>
          <w:szCs w:val="22"/>
          <w:lang w:val="de-DE"/>
        </w:rPr>
        <w:t xml:space="preserve"> Systems, Deutsches Biomasseforschungszentrum gemeinnützige GmbH—DBFZ, Torgauer Straße 116, 04347 Leipzig, Germany </w:t>
      </w:r>
    </w:p>
    <w:p w14:paraId="548FF4CE" w14:textId="77777777" w:rsidR="0044248B" w:rsidRPr="008224F4" w:rsidRDefault="0044248B" w:rsidP="00C911BF">
      <w:pPr>
        <w:pStyle w:val="MDPI16affiliation"/>
        <w:spacing w:line="480" w:lineRule="auto"/>
        <w:rPr>
          <w:rFonts w:ascii="Times New Roman" w:hAnsi="Times New Roman"/>
          <w:i/>
          <w:iCs/>
          <w:color w:val="222222"/>
          <w:bdr w:val="none" w:sz="0" w:space="0" w:color="auto" w:frame="1"/>
          <w:shd w:val="clear" w:color="auto" w:fill="FFFFFF"/>
          <w:lang w:val="de-DE"/>
        </w:rPr>
      </w:pPr>
    </w:p>
    <w:p w14:paraId="5025522E" w14:textId="5E9C1BFD" w:rsidR="0044248B" w:rsidRPr="0044248B" w:rsidRDefault="0044248B" w:rsidP="0044248B">
      <w:pPr>
        <w:pStyle w:val="MDPI16affiliation"/>
        <w:spacing w:line="480" w:lineRule="auto"/>
        <w:jc w:val="both"/>
        <w:rPr>
          <w:rFonts w:ascii="Times New Roman" w:hAnsi="Times New Roman"/>
          <w:color w:val="0070C0"/>
          <w:sz w:val="22"/>
          <w:szCs w:val="22"/>
        </w:rPr>
      </w:pPr>
      <w:r w:rsidRPr="008224F4">
        <w:rPr>
          <w:rFonts w:ascii="Times New Roman" w:hAnsi="Times New Roman"/>
          <w:color w:val="0070C0"/>
          <w:sz w:val="22"/>
          <w:szCs w:val="22"/>
          <w:lang w:val="de-DE"/>
        </w:rPr>
        <w:t xml:space="preserve">   </w:t>
      </w:r>
      <w:r w:rsidRPr="0044248B">
        <w:rPr>
          <w:rFonts w:ascii="Times New Roman" w:hAnsi="Times New Roman"/>
          <w:color w:val="0070C0"/>
          <w:sz w:val="22"/>
          <w:szCs w:val="22"/>
        </w:rPr>
        <w:t xml:space="preserve">This study is based on the re-analysis of existing data, which is openly available and cited in the manuscript. </w:t>
      </w:r>
      <w:r w:rsidR="004D57FF">
        <w:rPr>
          <w:rFonts w:ascii="Times New Roman" w:hAnsi="Times New Roman"/>
          <w:color w:val="0070C0"/>
          <w:sz w:val="22"/>
          <w:szCs w:val="22"/>
        </w:rPr>
        <w:t>Apart from this, t</w:t>
      </w:r>
      <w:r w:rsidRPr="0044248B">
        <w:rPr>
          <w:rFonts w:ascii="Times New Roman" w:hAnsi="Times New Roman"/>
          <w:color w:val="0070C0"/>
          <w:sz w:val="22"/>
          <w:szCs w:val="22"/>
        </w:rPr>
        <w:t>he</w:t>
      </w:r>
      <w:r w:rsidR="004D57FF">
        <w:rPr>
          <w:rFonts w:ascii="Times New Roman" w:hAnsi="Times New Roman"/>
          <w:color w:val="0070C0"/>
          <w:sz w:val="22"/>
          <w:szCs w:val="22"/>
        </w:rPr>
        <w:t xml:space="preserve"> relevant</w:t>
      </w:r>
      <w:r w:rsidRPr="0044248B">
        <w:rPr>
          <w:rFonts w:ascii="Times New Roman" w:hAnsi="Times New Roman"/>
          <w:color w:val="0070C0"/>
          <w:sz w:val="22"/>
          <w:szCs w:val="22"/>
        </w:rPr>
        <w:t xml:space="preserve"> information for spatial data analysis could refer to table 1. Additional documentation on data processing and analysis are available at the Helmholtz Centre for Environmental Research (UFZ) </w:t>
      </w:r>
      <w:r w:rsidR="004D57FF">
        <w:rPr>
          <w:rFonts w:ascii="Times New Roman" w:hAnsi="Times New Roman"/>
          <w:color w:val="0070C0"/>
          <w:sz w:val="22"/>
          <w:szCs w:val="22"/>
        </w:rPr>
        <w:t xml:space="preserve">internal database </w:t>
      </w:r>
      <w:r w:rsidRPr="0044248B">
        <w:rPr>
          <w:rFonts w:ascii="Times New Roman" w:hAnsi="Times New Roman"/>
          <w:color w:val="0070C0"/>
          <w:sz w:val="22"/>
          <w:szCs w:val="22"/>
        </w:rPr>
        <w:t xml:space="preserve">under data protection policy. Thus, the research data underpinning this publication can only be made available subject to the permission from the legal department of UFZ. </w:t>
      </w:r>
    </w:p>
    <w:p w14:paraId="2E9EEF27" w14:textId="3B1CABB1" w:rsidR="00C911BF" w:rsidRPr="0044248B" w:rsidRDefault="00C911BF" w:rsidP="00C911BF">
      <w:pPr>
        <w:pStyle w:val="MDPI41tablecaption"/>
        <w:ind w:left="425" w:right="425"/>
        <w:jc w:val="center"/>
        <w:rPr>
          <w:rFonts w:ascii="Times New Roman" w:hAnsi="Times New Roman" w:cs="Times New Roman"/>
        </w:rPr>
      </w:pPr>
      <w:r w:rsidRPr="0044248B">
        <w:rPr>
          <w:rFonts w:ascii="Times New Roman" w:hAnsi="Times New Roman" w:cs="Times New Roman"/>
          <w:b/>
        </w:rPr>
        <w:t xml:space="preserve">Table </w:t>
      </w:r>
      <w:r w:rsidR="00701830" w:rsidRPr="0044248B">
        <w:rPr>
          <w:rFonts w:ascii="Times New Roman" w:hAnsi="Times New Roman" w:cs="Times New Roman"/>
          <w:b/>
        </w:rPr>
        <w:t>1</w:t>
      </w:r>
      <w:r w:rsidRPr="0044248B">
        <w:rPr>
          <w:rFonts w:ascii="Times New Roman" w:hAnsi="Times New Roman" w:cs="Times New Roman"/>
          <w:b/>
        </w:rPr>
        <w:t xml:space="preserve">. </w:t>
      </w:r>
      <w:r w:rsidRPr="0044248B">
        <w:rPr>
          <w:rFonts w:ascii="Times New Roman" w:hAnsi="Times New Roman" w:cs="Times New Roman"/>
        </w:rPr>
        <w:t>Summary of the collected data for spatial analysis</w:t>
      </w:r>
      <w:r w:rsidR="00701830" w:rsidRPr="0044248B">
        <w:rPr>
          <w:rFonts w:ascii="Times New Roman" w:hAnsi="Times New Roman" w:cs="Times New Roman"/>
        </w:rPr>
        <w:t xml:space="preserve"> (freely downloadable)</w:t>
      </w:r>
      <w:r w:rsidR="00A8388D" w:rsidRPr="0044248B">
        <w:rPr>
          <w:rFonts w:ascii="Times New Roman" w:hAnsi="Times New Roman" w:cs="Times New Roman"/>
          <w:color w:val="auto"/>
        </w:rPr>
        <w:t xml:space="preserve"> and internal collection.</w:t>
      </w:r>
    </w:p>
    <w:tbl>
      <w:tblPr>
        <w:tblStyle w:val="TableGrid"/>
        <w:tblW w:w="935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340"/>
        <w:gridCol w:w="2340"/>
        <w:gridCol w:w="3683"/>
      </w:tblGrid>
      <w:tr w:rsidR="00635198" w:rsidRPr="0044248B" w14:paraId="3604648C" w14:textId="77777777" w:rsidTr="00635198">
        <w:trPr>
          <w:jc w:val="center"/>
        </w:trPr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B50D621" w14:textId="571255B5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b/>
                <w:color w:val="auto"/>
              </w:rPr>
            </w:pPr>
            <w:r w:rsidRPr="0044248B">
              <w:rPr>
                <w:rFonts w:ascii="Times New Roman" w:hAnsi="Times New Roman"/>
                <w:b/>
                <w:color w:val="auto"/>
              </w:rPr>
              <w:t>No.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4969CF" w14:textId="21B0EBC0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b/>
                <w:color w:val="auto"/>
              </w:rPr>
            </w:pPr>
            <w:r w:rsidRPr="0044248B">
              <w:rPr>
                <w:rFonts w:ascii="Times New Roman" w:hAnsi="Times New Roman"/>
                <w:b/>
                <w:color w:val="auto"/>
              </w:rPr>
              <w:t>Data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6DB75" w14:textId="4A615E83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b/>
                <w:color w:val="auto"/>
              </w:rPr>
            </w:pPr>
            <w:r w:rsidRPr="0044248B">
              <w:rPr>
                <w:rFonts w:ascii="Times New Roman" w:hAnsi="Times New Roman"/>
                <w:b/>
                <w:color w:val="auto"/>
              </w:rPr>
              <w:t>Source</w:t>
            </w:r>
          </w:p>
        </w:tc>
        <w:tc>
          <w:tcPr>
            <w:tcW w:w="36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6CFE57" w14:textId="6F188DF9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b/>
                <w:color w:val="auto"/>
              </w:rPr>
            </w:pPr>
            <w:r w:rsidRPr="0044248B">
              <w:rPr>
                <w:rFonts w:ascii="Times New Roman" w:hAnsi="Times New Roman"/>
                <w:b/>
                <w:color w:val="auto"/>
              </w:rPr>
              <w:t>Website</w:t>
            </w:r>
          </w:p>
        </w:tc>
      </w:tr>
      <w:tr w:rsidR="00635198" w:rsidRPr="0044248B" w14:paraId="60BF3D25" w14:textId="77777777" w:rsidTr="00635198">
        <w:trPr>
          <w:jc w:val="center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18E89" w14:textId="77777777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</w:p>
          <w:p w14:paraId="5D838F79" w14:textId="4F061342" w:rsidR="000B4491" w:rsidRPr="0044248B" w:rsidRDefault="000B4491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2178A" w14:textId="07337E5E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Biogas plant geographic distribution information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E9F55A" w14:textId="1B50308E" w:rsidR="00635198" w:rsidRPr="0044248B" w:rsidRDefault="00E90C78" w:rsidP="00702CC9">
            <w:pPr>
              <w:shd w:val="clear" w:color="auto" w:fill="FFFFFF"/>
              <w:spacing w:after="60" w:line="330" w:lineRule="atLeast"/>
              <w:outlineLvl w:val="2"/>
              <w:rPr>
                <w:rFonts w:ascii="Times New Roman" w:eastAsia="Times New Roman" w:hAnsi="Times New Roman"/>
                <w:snapToGrid w:val="0"/>
                <w:color w:val="auto"/>
                <w:lang w:eastAsia="de-DE" w:bidi="en-US"/>
              </w:rPr>
            </w:pPr>
            <w:hyperlink r:id="rId7" w:tgtFrame="_blank" w:history="1">
              <w:r w:rsidR="00635198" w:rsidRPr="0044248B">
                <w:rPr>
                  <w:rFonts w:ascii="Times New Roman" w:eastAsia="Times New Roman" w:hAnsi="Times New Roman"/>
                  <w:snapToGrid w:val="0"/>
                  <w:color w:val="auto"/>
                  <w:lang w:eastAsia="de-DE" w:bidi="en-US"/>
                </w:rPr>
                <w:t>German</w:t>
              </w:r>
            </w:hyperlink>
            <w:r w:rsidR="00635198" w:rsidRPr="0044248B">
              <w:rPr>
                <w:rFonts w:ascii="Times New Roman" w:eastAsia="Times New Roman" w:hAnsi="Times New Roman"/>
                <w:snapToGrid w:val="0"/>
                <w:color w:val="auto"/>
                <w:lang w:eastAsia="de-DE" w:bidi="en-US"/>
              </w:rPr>
              <w:t xml:space="preserve"> Biomass Research Centre (DBFZ)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DEA51" w14:textId="2DA84FB3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DBFZ internal database</w:t>
            </w:r>
          </w:p>
        </w:tc>
      </w:tr>
      <w:tr w:rsidR="00635198" w:rsidRPr="0044248B" w14:paraId="6C44CD12" w14:textId="77777777" w:rsidTr="00635198">
        <w:trPr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ED00530" w14:textId="3D7BE54B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</w:p>
          <w:p w14:paraId="4EFC9DB8" w14:textId="3D63ECB0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92D6F" w14:textId="1B23FF0F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 xml:space="preserve">Germany administrative area (NUTS3)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F5E90" w14:textId="2670B366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Eurostat NUTS 2016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0BE3D" w14:textId="0E61A7ED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https://ec.europa.eu/eurostat/web/gisco/geodata/reference-data/administrative-units-statistical-units/nuts</w:t>
            </w:r>
          </w:p>
        </w:tc>
      </w:tr>
      <w:tr w:rsidR="00635198" w:rsidRPr="0044248B" w14:paraId="20E962CC" w14:textId="77777777" w:rsidTr="00635198">
        <w:trPr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444196" w14:textId="295E8D0F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2332A" w14:textId="4C3B6952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 xml:space="preserve">Digital Elevation Model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184D6" w14:textId="4E96719B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USGS, 2014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1D085" w14:textId="304C562C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https://earthexplorer.usgs.gov/</w:t>
            </w:r>
          </w:p>
        </w:tc>
      </w:tr>
      <w:tr w:rsidR="00635198" w:rsidRPr="0044248B" w14:paraId="6C728470" w14:textId="77777777" w:rsidTr="00635198">
        <w:trPr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34C404" w14:textId="77777777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</w:p>
          <w:p w14:paraId="5A548E8F" w14:textId="2B2730E8" w:rsidR="000B4491" w:rsidRPr="0044248B" w:rsidRDefault="000B4491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46103" w14:textId="3B94E651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Climatic Map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A6C08" w14:textId="73EA17F1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DWD Climate Data Center (CDC)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F54BC" w14:textId="01B7590A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Internal access through UFZ account</w:t>
            </w:r>
          </w:p>
        </w:tc>
      </w:tr>
      <w:tr w:rsidR="00635198" w:rsidRPr="008224F4" w14:paraId="4A3AB327" w14:textId="77777777" w:rsidTr="00635198">
        <w:trPr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871C1B3" w14:textId="77777777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</w:p>
          <w:p w14:paraId="5CDD4C74" w14:textId="2F20C2D3" w:rsidR="000B4491" w:rsidRPr="0044248B" w:rsidRDefault="000B4491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260F4" w14:textId="78EDFBAE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ATKIS Digital Basic-Landscape map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E4755" w14:textId="6E3FD06A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  <w:lang w:val="de-DE"/>
              </w:rPr>
            </w:pPr>
            <w:r w:rsidRPr="0044248B">
              <w:rPr>
                <w:rFonts w:ascii="Times New Roman" w:hAnsi="Times New Roman"/>
                <w:color w:val="auto"/>
                <w:lang w:val="de-DE"/>
              </w:rPr>
              <w:t>Bundesamt für Kartographie und Geodäsie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3734B" w14:textId="717C6A39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  <w:lang w:val="de-DE"/>
              </w:rPr>
            </w:pPr>
            <w:r w:rsidRPr="0044248B">
              <w:rPr>
                <w:rFonts w:ascii="Times New Roman" w:hAnsi="Times New Roman"/>
                <w:color w:val="auto"/>
                <w:lang w:val="de-DE"/>
              </w:rPr>
              <w:t>http://www.adv-online.de/Products/Geotopography/Digital-Landscape-Models/Basis-DLM/</w:t>
            </w:r>
          </w:p>
        </w:tc>
      </w:tr>
      <w:tr w:rsidR="00635198" w:rsidRPr="0044248B" w14:paraId="4E61332F" w14:textId="77777777" w:rsidTr="00635198">
        <w:trPr>
          <w:jc w:val="center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8A4151" w14:textId="16DEE77B" w:rsidR="00635198" w:rsidRPr="0044248B" w:rsidRDefault="000B4491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67C2B85" w14:textId="30CADCED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Corine Land Cover (CLC) map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5C4340" w14:textId="612E2BE4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Copernicus Land Monitoring Service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9E4A16" w14:textId="72FBF43A" w:rsidR="00635198" w:rsidRPr="0044248B" w:rsidRDefault="00635198" w:rsidP="00E86FC9">
            <w:pPr>
              <w:pStyle w:val="MDPI42tablebody"/>
              <w:autoSpaceDE w:val="0"/>
              <w:autoSpaceDN w:val="0"/>
              <w:rPr>
                <w:rFonts w:ascii="Times New Roman" w:hAnsi="Times New Roman"/>
                <w:color w:val="auto"/>
              </w:rPr>
            </w:pPr>
            <w:r w:rsidRPr="0044248B">
              <w:rPr>
                <w:rFonts w:ascii="Times New Roman" w:hAnsi="Times New Roman"/>
                <w:color w:val="auto"/>
              </w:rPr>
              <w:t>https://land.copernicus.eu/pan-european/corine-land-cover</w:t>
            </w:r>
          </w:p>
        </w:tc>
      </w:tr>
    </w:tbl>
    <w:p w14:paraId="794AFE45" w14:textId="77777777" w:rsidR="000A71E3" w:rsidRPr="0044248B" w:rsidRDefault="000A71E3" w:rsidP="004A08B7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sectPr w:rsidR="000A71E3" w:rsidRPr="0044248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EB3D" w14:textId="77777777" w:rsidR="00E90C78" w:rsidRDefault="00E90C78" w:rsidP="008224F4">
      <w:pPr>
        <w:spacing w:after="0" w:line="240" w:lineRule="auto"/>
      </w:pPr>
      <w:r>
        <w:separator/>
      </w:r>
    </w:p>
  </w:endnote>
  <w:endnote w:type="continuationSeparator" w:id="0">
    <w:p w14:paraId="77EEC754" w14:textId="77777777" w:rsidR="00E90C78" w:rsidRDefault="00E90C78" w:rsidP="0082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65B5" w14:textId="77777777" w:rsidR="00E90C78" w:rsidRDefault="00E90C78" w:rsidP="008224F4">
      <w:pPr>
        <w:spacing w:after="0" w:line="240" w:lineRule="auto"/>
      </w:pPr>
      <w:r>
        <w:separator/>
      </w:r>
    </w:p>
  </w:footnote>
  <w:footnote w:type="continuationSeparator" w:id="0">
    <w:p w14:paraId="44555CE7" w14:textId="77777777" w:rsidR="00E90C78" w:rsidRDefault="00E90C78" w:rsidP="0082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B36"/>
    <w:multiLevelType w:val="multilevel"/>
    <w:tmpl w:val="0FD476AC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3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9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  <w:rPr>
        <w:rFonts w:hint="default"/>
      </w:rPr>
    </w:lvl>
  </w:abstractNum>
  <w:abstractNum w:abstractNumId="1" w15:restartNumberingAfterBreak="0">
    <w:nsid w:val="3E8000E9"/>
    <w:multiLevelType w:val="multilevel"/>
    <w:tmpl w:val="1B56F56A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3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9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  <w:rPr>
        <w:rFonts w:hint="default"/>
      </w:rPr>
    </w:lvl>
  </w:abstractNum>
  <w:abstractNum w:abstractNumId="2" w15:restartNumberingAfterBreak="0">
    <w:nsid w:val="577D1E9F"/>
    <w:multiLevelType w:val="multilevel"/>
    <w:tmpl w:val="03B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9408E"/>
    <w:multiLevelType w:val="hybridMultilevel"/>
    <w:tmpl w:val="A0EE6FC4"/>
    <w:lvl w:ilvl="0" w:tplc="3D8A674E">
      <w:start w:val="1"/>
      <w:numFmt w:val="decimal"/>
      <w:lvlText w:val="%1."/>
      <w:lvlJc w:val="left"/>
      <w:pPr>
        <w:ind w:left="473" w:hanging="360"/>
      </w:pPr>
      <w:rPr>
        <w:rFonts w:ascii="Verdana" w:hAnsi="Verdana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NgUSJoYGFgZGpko6SsGpxcWZ+XkgBUa1AF9qItUsAAAA"/>
  </w:docVars>
  <w:rsids>
    <w:rsidRoot w:val="006B0047"/>
    <w:rsid w:val="000A71E3"/>
    <w:rsid w:val="000B4491"/>
    <w:rsid w:val="0015541E"/>
    <w:rsid w:val="00250CF0"/>
    <w:rsid w:val="0044248B"/>
    <w:rsid w:val="004A08B7"/>
    <w:rsid w:val="004D57FF"/>
    <w:rsid w:val="005222A4"/>
    <w:rsid w:val="00595BFC"/>
    <w:rsid w:val="00635198"/>
    <w:rsid w:val="006B0047"/>
    <w:rsid w:val="00701830"/>
    <w:rsid w:val="00702CC9"/>
    <w:rsid w:val="008224F4"/>
    <w:rsid w:val="008B4FC7"/>
    <w:rsid w:val="00A8388D"/>
    <w:rsid w:val="00C911BF"/>
    <w:rsid w:val="00D50FF6"/>
    <w:rsid w:val="00E520C1"/>
    <w:rsid w:val="00E86FC9"/>
    <w:rsid w:val="00E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DEEDA"/>
  <w15:chartTrackingRefBased/>
  <w15:docId w15:val="{015553A7-8643-4B3C-A891-6D9F693F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2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8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6affiliation">
    <w:name w:val="MDPI_1.6_affiliation"/>
    <w:basedOn w:val="Normal"/>
    <w:qFormat/>
    <w:rsid w:val="00C911BF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table" w:styleId="TableGrid">
    <w:name w:val="Table Grid"/>
    <w:basedOn w:val="TableNormal"/>
    <w:uiPriority w:val="39"/>
    <w:rsid w:val="00C911BF"/>
    <w:pPr>
      <w:spacing w:after="0" w:line="260" w:lineRule="atLeast"/>
      <w:jc w:val="both"/>
    </w:pPr>
    <w:rPr>
      <w:rFonts w:ascii="Palatino Linotype" w:eastAsia="宋体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qFormat/>
    <w:rsid w:val="00C911BF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42tablebody">
    <w:name w:val="MDPI_4.2_table_body"/>
    <w:qFormat/>
    <w:rsid w:val="00C911BF"/>
    <w:pPr>
      <w:adjustRightInd w:val="0"/>
      <w:snapToGrid w:val="0"/>
      <w:spacing w:after="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styleId="CommentReference">
    <w:name w:val="annotation reference"/>
    <w:rsid w:val="00C911BF"/>
    <w:rPr>
      <w:sz w:val="21"/>
      <w:szCs w:val="21"/>
    </w:rPr>
  </w:style>
  <w:style w:type="paragraph" w:styleId="CommentText">
    <w:name w:val="annotation text"/>
    <w:basedOn w:val="Normal"/>
    <w:link w:val="CommentTextChar"/>
    <w:rsid w:val="00C911BF"/>
    <w:pPr>
      <w:spacing w:after="0" w:line="260" w:lineRule="atLeast"/>
      <w:jc w:val="both"/>
    </w:pPr>
    <w:rPr>
      <w:rFonts w:ascii="Palatino Linotype" w:eastAsia="宋体" w:hAnsi="Palatino Linotype" w:cs="Times New Roman"/>
      <w:noProof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11BF"/>
    <w:rPr>
      <w:rFonts w:ascii="Palatino Linotype" w:eastAsia="宋体" w:hAnsi="Palatino Linotype" w:cs="Times New Roman"/>
      <w:noProof/>
      <w:color w:val="000000"/>
      <w:sz w:val="20"/>
      <w:szCs w:val="20"/>
    </w:rPr>
  </w:style>
  <w:style w:type="paragraph" w:customStyle="1" w:styleId="MDPI43tablefooter">
    <w:name w:val="MDPI_4.3_table_footer"/>
    <w:next w:val="Normal"/>
    <w:qFormat/>
    <w:rsid w:val="00C911BF"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Cordia New"/>
      <w:color w:val="000000"/>
      <w:sz w:val="18"/>
      <w:lang w:eastAsia="de-DE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02C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2CC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8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4A08B7"/>
    <w:pPr>
      <w:spacing w:after="0" w:line="240" w:lineRule="auto"/>
    </w:pPr>
    <w:rPr>
      <w:lang w:val="de-DE"/>
    </w:rPr>
  </w:style>
  <w:style w:type="paragraph" w:styleId="ListParagraph">
    <w:name w:val="List Paragraph"/>
    <w:basedOn w:val="Normal"/>
    <w:uiPriority w:val="34"/>
    <w:qFormat/>
    <w:rsid w:val="00250C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24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24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4F4"/>
  </w:style>
  <w:style w:type="paragraph" w:styleId="Footer">
    <w:name w:val="footer"/>
    <w:basedOn w:val="Normal"/>
    <w:link w:val="FooterChar"/>
    <w:uiPriority w:val="99"/>
    <w:unhideWhenUsed/>
    <w:rsid w:val="008224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hU75rK6EqaVb09ryOUNeW3XdoOxmeUhFpAQdNLnYjoe&amp;wd=&amp;eqid=dc1aad3b0000390f00000006617397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Xueqing</dc:creator>
  <cp:keywords/>
  <dc:description/>
  <cp:lastModifiedBy>Yang Xueqing</cp:lastModifiedBy>
  <cp:revision>11</cp:revision>
  <dcterms:created xsi:type="dcterms:W3CDTF">2021-10-23T04:09:00Z</dcterms:created>
  <dcterms:modified xsi:type="dcterms:W3CDTF">2021-10-24T13:29:00Z</dcterms:modified>
</cp:coreProperties>
</file>