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1143000" cy="287909"/>
            <wp:effectExtent b="0" l="0" r="0" t="0"/>
            <wp:docPr id="1" name="image-8391afc4ea512f7003405a1383d1612af2f047fe.png"/>
            <a:graphic>
              <a:graphicData uri="http://schemas.openxmlformats.org/drawingml/2006/picture">
                <pic:pic>
                  <pic:nvPicPr>
                    <pic:cNvPr id="1" name="image-8391afc4ea512f7003405a1383d1612af2f047fe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7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How do IgA levels vary between different mouse strains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IgA levels vary significantly between different mouse strains:</w:t>
      </w:r>
    </w:p>
    <w:p>
      <w:pPr>
        <w:numPr>
          <w:ilvl w:val="0"/>
          <w:numId w:val="1"/>
        </w:numPr>
        <w:spacing w:line="360" w:after="210" w:lineRule="auto"/>
      </w:pPr>
      <w:r>
        <w:rPr>
          <w:rFonts w:eastAsia="inter" w:cs="inter" w:ascii="inter" w:hAnsi="inter"/>
          <w:color w:val="000000"/>
          <w:sz w:val="21"/>
        </w:rPr>
        <w:t xml:space="preserve">C57BL/6 mice: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Normal serum IgA range: 1.0 - 3.2 mg/ml</w:t>
      </w:r>
      <w:bookmarkStart w:id="0" w:name="fnref1"/>
      <w:bookmarkEnd w:id="0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Higher fecal IgA levels compared to other strains</w:t>
      </w:r>
      <w:bookmarkStart w:id="1" w:name="fnref2"/>
      <w:bookmarkEnd w:id="1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bookmarkStart w:id="2" w:name="fnref3"/>
      <w:bookmarkEnd w:id="2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Exhibit age-dependent increases in fecal IgA levels</w:t>
      </w:r>
      <w:bookmarkStart w:id="3" w:name="fnref4"/>
      <w:bookmarkEnd w:id="3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</w:p>
    <w:p>
      <w:pPr>
        <w:numPr>
          <w:ilvl w:val="0"/>
          <w:numId w:val="1"/>
        </w:numPr>
        <w:spacing w:line="360" w:after="210" w:lineRule="auto"/>
      </w:pPr>
      <w:r>
        <w:rPr>
          <w:rFonts w:eastAsia="inter" w:cs="inter" w:ascii="inter" w:hAnsi="inter"/>
          <w:color w:val="000000"/>
          <w:sz w:val="21"/>
        </w:rPr>
        <w:t xml:space="preserve">BALB/c mice: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Generally lower fecal IgA levels compared to C57BL/6 mice</w:t>
      </w:r>
      <w:bookmarkStart w:id="4" w:name="fnref5"/>
      <w:bookmarkEnd w:id="4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Show different kinetics of intestinal and bronchoalveolar IgA production during parasite infection compared to C57BL/6</w:t>
      </w:r>
      <w:bookmarkStart w:id="5" w:name="fnref6"/>
      <w:bookmarkEnd w:id="5"/>
      <w:hyperlink w:anchor="fn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[6]</w:t>
        </w:r>
      </w:hyperlink>
    </w:p>
    <w:p>
      <w:pPr>
        <w:numPr>
          <w:ilvl w:val="0"/>
          <w:numId w:val="1"/>
        </w:numPr>
        <w:spacing w:line="360" w:after="210" w:lineRule="auto"/>
      </w:pPr>
      <w:r>
        <w:rPr>
          <w:rFonts w:eastAsia="inter" w:cs="inter" w:ascii="inter" w:hAnsi="inter"/>
          <w:color w:val="000000"/>
          <w:sz w:val="21"/>
        </w:rPr>
        <w:t xml:space="preserve">Lupus-prone mouse strains (MRL/lpr, NZB/WF1, SNF1, NZM2410, NZM2328):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Significantly higher fecal IgA levels compared to control B6 mice, even at juvenile age (4 weeks)</w:t>
      </w:r>
      <w:bookmarkStart w:id="6" w:name="fnref4:1"/>
      <w:bookmarkEnd w:id="6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MRL/lpr mice show the highest abundance of fecal IgA at all ages</w:t>
      </w:r>
      <w:bookmarkStart w:id="7" w:name="fnref4:2"/>
      <w:bookmarkEnd w:id="7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NZB/WF1 and SNF1 females have significantly higher fecal IgA levels than males</w:t>
      </w:r>
      <w:bookmarkStart w:id="8" w:name="fnref4:3"/>
      <w:bookmarkEnd w:id="8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</w:p>
    <w:p>
      <w:pPr>
        <w:numPr>
          <w:ilvl w:val="0"/>
          <w:numId w:val="1"/>
        </w:numPr>
        <w:spacing w:line="360" w:after="210" w:lineRule="auto"/>
      </w:pPr>
      <w:r>
        <w:rPr>
          <w:rFonts w:eastAsia="inter" w:cs="inter" w:ascii="inter" w:hAnsi="inter"/>
          <w:color w:val="000000"/>
          <w:sz w:val="21"/>
        </w:rPr>
        <w:t xml:space="preserve">IgA-deficient mice (IgA−/−):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No detectable IgA in serum or mucosal secretions</w:t>
      </w:r>
      <w:bookmarkStart w:id="9" w:name="fnref5:1"/>
      <w:bookmarkEnd w:id="9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Compensatory increases in IgM and IgG levels</w:t>
      </w:r>
      <w:bookmarkStart w:id="10" w:name="fnref5:2"/>
      <w:bookmarkEnd w:id="10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</w:p>
    <w:p>
      <w:pPr>
        <w:numPr>
          <w:ilvl w:val="0"/>
          <w:numId w:val="1"/>
        </w:numPr>
        <w:spacing w:line="360" w:after="210" w:lineRule="auto"/>
      </w:pPr>
      <w:r>
        <w:rPr>
          <w:rFonts w:eastAsia="inter" w:cs="inter" w:ascii="inter" w:hAnsi="inter"/>
          <w:color w:val="000000"/>
          <w:sz w:val="21"/>
        </w:rPr>
        <w:t xml:space="preserve">Strain-specific differences: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Genetic background affects mucosal secretory IgA levels during parasite infections</w:t>
      </w:r>
      <w:bookmarkStart w:id="11" w:name="fnref6:1"/>
      <w:bookmarkEnd w:id="11"/>
      <w:hyperlink w:anchor="fn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[6]</w:t>
        </w:r>
      </w:hyperlink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C57BL/6J mice show higher bronchoalveolar IgA levels compared to BALB/c mice during Ascaris infection</w:t>
      </w:r>
      <w:bookmarkStart w:id="12" w:name="fnref6:2"/>
      <w:bookmarkEnd w:id="12"/>
      <w:hyperlink w:anchor="fn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[6]</w:t>
        </w:r>
      </w:hyperlink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These variations in IgA levels between mouse strains highlight the importance of considering genetic background when studying mucosal immunity and designing experiments involving IgA measurements.</w:t>
      </w:r>
    </w:p>
    <w:p>
      <w:pPr>
        <w:spacing w:line="360" w:lineRule="auto"/>
        <w:jc w:val="center"/>
      </w:pPr>
      <w:r>
        <w:rPr>
          <w:rFonts w:eastAsia="inter" w:cs="inter" w:ascii="inter" w:hAnsi="inter"/>
          <w:color w:val="000000"/>
        </w:rPr>
        <w:t xml:space="preserve">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bookmarkStart w:id="13" w:name="fn1"/>
    <w:bookmarkEnd w:id="13"/>
    <w:p>
      <w:pPr>
        <w:numPr>
          <w:ilvl w:val="0"/>
          <w:numId w:val="3"/>
        </w:numPr>
        <w:spacing w:line="360" w:after="210" w:lineRule="auto"/>
      </w:pPr>
      <w:hyperlink r:id="rId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https://onlinelibrary.wiley.com/doi/full/10.1111/j.1365-3083.2006.001762.x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4" w:name="fn2"/>
    <w:bookmarkEnd w:id="14"/>
    <w:p>
      <w:pPr>
        <w:numPr>
          <w:ilvl w:val="0"/>
          <w:numId w:val="3"/>
        </w:numPr>
        <w:spacing w:line="360" w:after="210" w:lineRule="auto"/>
      </w:pPr>
      <w:hyperlink r:id="rId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https://pmc.ncbi.nlm.nih.gov/articles/PMC7213796/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5" w:name="fn3"/>
    <w:bookmarkEnd w:id="15"/>
    <w:p>
      <w:pPr>
        <w:numPr>
          <w:ilvl w:val="0"/>
          <w:numId w:val="3"/>
        </w:numPr>
        <w:spacing w:line="360" w:after="210" w:lineRule="auto"/>
      </w:pPr>
      <w:hyperlink r:id="rId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https://www.biorxiv.org/content/10.1101/544015v2.full.pdf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6" w:name="fn4"/>
    <w:bookmarkEnd w:id="16"/>
    <w:p>
      <w:pPr>
        <w:numPr>
          <w:ilvl w:val="0"/>
          <w:numId w:val="3"/>
        </w:numPr>
        <w:spacing w:line="360" w:after="210" w:lineRule="auto"/>
      </w:pPr>
      <w:hyperlink r:id="rId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https://pmc.ncbi.nlm.nih.gov/articles/PMC9417274/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7" w:name="fn5"/>
    <w:bookmarkEnd w:id="17"/>
    <w:p>
      <w:pPr>
        <w:numPr>
          <w:ilvl w:val="0"/>
          <w:numId w:val="3"/>
        </w:numPr>
        <w:spacing w:line="360" w:after="210" w:lineRule="auto"/>
      </w:pPr>
      <w:hyperlink r:id="rId1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https://www.nature.com/articles/mi201251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8" w:name="fn6"/>
    <w:bookmarkEnd w:id="18"/>
    <w:p>
      <w:pPr>
        <w:numPr>
          <w:ilvl w:val="0"/>
          <w:numId w:val="3"/>
        </w:numPr>
        <w:spacing w:line="360" w:after="210" w:lineRule="auto"/>
      </w:pPr>
      <w:hyperlink r:id="rId11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https://journals.asm.org/doi/10.1128/iai.00595-21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2">
    <w:multiLevelType w:val="hybridMultilevel"/>
  </w:abstractNum>
  <w:abstractNum w:abstractNumId="3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8391afc4ea512f7003405a1383d1612af2f047fe.png" TargetMode="Internal"/><Relationship Id="rId6" Type="http://schemas.openxmlformats.org/officeDocument/2006/relationships/hyperlink" Target="https://onlinelibrary.wiley.com/doi/full/10.1111/j.1365-3083.2006.001762.x" TargetMode="External"/><Relationship Id="rId7" Type="http://schemas.openxmlformats.org/officeDocument/2006/relationships/hyperlink" Target="https://pmc.ncbi.nlm.nih.gov/articles/PMC7213796/" TargetMode="External"/><Relationship Id="rId8" Type="http://schemas.openxmlformats.org/officeDocument/2006/relationships/hyperlink" Target="https://www.biorxiv.org/content/10.1101/544015v2.full.pdf" TargetMode="External"/><Relationship Id="rId9" Type="http://schemas.openxmlformats.org/officeDocument/2006/relationships/hyperlink" Target="https://pmc.ncbi.nlm.nih.gov/articles/PMC9417274/" TargetMode="External"/><Relationship Id="rId10" Type="http://schemas.openxmlformats.org/officeDocument/2006/relationships/hyperlink" Target="https://www.nature.com/articles/mi201251" TargetMode="External"/><Relationship Id="rId11" Type="http://schemas.openxmlformats.org/officeDocument/2006/relationships/hyperlink" Target="https://journals.asm.org/doi/10.1128/iai.00595-21" TargetMode="Ex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2025-03-26T22:38:57.608Z</dcterms:created>
  <dcterms:modified xsi:type="dcterms:W3CDTF">2025-03-26T22:38:57.608Z</dcterms:modified>
</cp:coreProperties>
</file>