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2b37b09471ae11e3ab12a335f221ab569098370.png"/>
            <a:graphic>
              <a:graphicData uri="http://schemas.openxmlformats.org/drawingml/2006/picture">
                <pic:pic>
                  <pic:nvPicPr>
                    <pic:cNvPr id="1" name="image-52b37b09471ae11e3ab12a335f221ab56909837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Quels types d'interférences peuvent affecter la dilution des IgA fécaux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Types d'interférences affectant la dilution des IgA fécaux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Interférences liées à la composition des selles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Lipides et bile</w:t>
      </w:r>
      <w:r>
        <w:rPr>
          <w:rFonts w:eastAsia="inter" w:cs="inter" w:ascii="inter" w:hAnsi="inter"/>
          <w:color w:val="000000"/>
          <w:sz w:val="21"/>
        </w:rPr>
        <w:t xml:space="preserve"> : Une concentration élevée en lipides (ex : selles grasses) ou en bilirubine peut masquer les épitopes des IgA, perturbant la liaison antigène-anticorps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Protéases digestives</w:t>
      </w:r>
      <w:r>
        <w:rPr>
          <w:rFonts w:eastAsia="inter" w:cs="inter" w:ascii="inter" w:hAnsi="inter"/>
          <w:color w:val="000000"/>
          <w:sz w:val="21"/>
        </w:rPr>
        <w:t xml:space="preserve"> : Les enzymes protéolytiques (trypsine, élastase) dégradent les IgA si l'échantillon n'est pas stabilisé, faussant les résultats après dilution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Hémolyse occulte</w:t>
      </w:r>
      <w:r>
        <w:rPr>
          <w:rFonts w:eastAsia="inter" w:cs="inter" w:ascii="inter" w:hAnsi="inter"/>
          <w:color w:val="000000"/>
          <w:sz w:val="21"/>
        </w:rPr>
        <w:t xml:space="preserve"> : La présence de sang dans les selles (même non visible) introduit des IgA sériques, brouillant l'interprétation des IgA sécrétoires intestinales</w:t>
      </w:r>
      <w:bookmarkStart w:id="4" w:name="fnref2:2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" w:name="fnref3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Interférences immunologiques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Auto-anticorps</w:t>
      </w:r>
      <w:r>
        <w:rPr>
          <w:rFonts w:eastAsia="inter" w:cs="inter" w:ascii="inter" w:hAnsi="inter"/>
          <w:color w:val="000000"/>
          <w:sz w:val="21"/>
        </w:rPr>
        <w:t xml:space="preserve"> : Des anticorps anti-IgA (chez les patients déficients en IgA) ou des anticorps hétérophiles peuvent générer des liaisons non spécifiques, perturbant les dosages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" w:name="fnref2:3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Ig monoclonales</w:t>
      </w:r>
      <w:r>
        <w:rPr>
          <w:rFonts w:eastAsia="inter" w:cs="inter" w:ascii="inter" w:hAnsi="inter"/>
          <w:color w:val="000000"/>
          <w:sz w:val="21"/>
        </w:rPr>
        <w:t xml:space="preserve"> : Les chaînes légères libres ou les IgA monoclonales (ex : myélome) forment des agrégats résistants à la dilution standard, provoquant un effet prozone</w:t>
      </w:r>
      <w:bookmarkStart w:id="9" w:name="fnref1:2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" w:name="fnref2:4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3:2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Réactivité croisée</w:t>
      </w:r>
      <w:r>
        <w:rPr>
          <w:rFonts w:eastAsia="inter" w:cs="inter" w:ascii="inter" w:hAnsi="inter"/>
          <w:color w:val="000000"/>
          <w:sz w:val="21"/>
        </w:rPr>
        <w:t xml:space="preserve"> : Les anticorps de détection peuvent reconnaître d'autres isotypes (IgG, IgM) ou fragments d'immunoglobulines (chaînes légères κ/λ)</w:t>
      </w:r>
      <w:bookmarkStart w:id="12" w:name="fnref2:5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" w:name="fnref3:3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Interférences médicamenteuses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Immunosuppresseurs</w:t>
      </w:r>
      <w:r>
        <w:rPr>
          <w:rFonts w:eastAsia="inter" w:cs="inter" w:ascii="inter" w:hAnsi="inter"/>
          <w:color w:val="000000"/>
          <w:sz w:val="21"/>
        </w:rPr>
        <w:t xml:space="preserve"> : Les médicaments comme la sulfasalazine ou la phénylhydantoïne réduisent la production d'IgA, induisant un déficit acquis et des résultats faussement bas</w:t>
      </w:r>
      <w:bookmarkStart w:id="14" w:name="fnref4:1"/>
      <w:bookmarkEnd w:id="1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5" w:name="fnref5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Anticorps monoclonaux thérapeutiques</w:t>
      </w:r>
      <w:r>
        <w:rPr>
          <w:rFonts w:eastAsia="inter" w:cs="inter" w:ascii="inter" w:hAnsi="inter"/>
          <w:color w:val="000000"/>
          <w:sz w:val="21"/>
        </w:rPr>
        <w:t xml:space="preserve"> : Certains traitements (ex : anticorps anti-CD47) peuvent interférer avec les réactifs immuno-enzymatiques</w:t>
      </w:r>
      <w:bookmarkStart w:id="16" w:name="fnref1:3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2:6"/>
      <w:bookmarkEnd w:id="1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Problèmes pré-analytiques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Dilution inhomogène</w:t>
      </w:r>
      <w:r>
        <w:rPr>
          <w:rFonts w:eastAsia="inter" w:cs="inter" w:ascii="inter" w:hAnsi="inter"/>
          <w:color w:val="000000"/>
          <w:sz w:val="21"/>
        </w:rPr>
        <w:t xml:space="preserve"> : Une homogénéisation insuffisante des selles solides entraîne des variations de concentration entre les aliquotes</w:t>
      </w:r>
      <w:bookmarkStart w:id="18" w:name="fnref1:4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9" w:name="fnref2:7"/>
      <w:bookmarkEnd w:id="1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Stabilité de l'échantillon</w:t>
      </w:r>
      <w:r>
        <w:rPr>
          <w:rFonts w:eastAsia="inter" w:cs="inter" w:ascii="inter" w:hAnsi="inter"/>
          <w:color w:val="000000"/>
          <w:sz w:val="21"/>
        </w:rPr>
        <w:t xml:space="preserve"> : Une congélation retardée ou des cycles de décongélation répétés dénaturent les IgA, surtout en présence de selles liquides</w:t>
      </w:r>
      <w:bookmarkStart w:id="20" w:name="fnref1:5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1" w:name="fnref2:8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Interférences techniques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Effet de matrice</w:t>
      </w:r>
      <w:r>
        <w:rPr>
          <w:rFonts w:eastAsia="inter" w:cs="inter" w:ascii="inter" w:hAnsi="inter"/>
          <w:color w:val="000000"/>
          <w:sz w:val="21"/>
        </w:rPr>
        <w:t xml:space="preserve"> : La viscosité élevée des selles (ex : constipation sévère) perturbe les étapes de pipetage et de centrifugation</w:t>
      </w:r>
      <w:bookmarkStart w:id="22" w:name="fnref1:6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3" w:name="fnref2:9"/>
      <w:bookmarkEnd w:id="2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Prozone inverse</w:t>
      </w:r>
      <w:r>
        <w:rPr>
          <w:rFonts w:eastAsia="inter" w:cs="inter" w:ascii="inter" w:hAnsi="inter"/>
          <w:color w:val="000000"/>
          <w:sz w:val="21"/>
        </w:rPr>
        <w:t xml:space="preserve"> : Une dilution excessive peut rendre les IgA indétectables si la concentration tombe sous le seuil de sensibilité du test</w:t>
      </w:r>
      <w:bookmarkStart w:id="24" w:name="fnref2:10"/>
      <w:bookmarkEnd w:id="2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5" w:name="fnref3:4"/>
      <w:bookmarkEnd w:id="2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Stratégies d'atténuation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Interférence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Solution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Protéases digestives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Ajout d'AEBSF ou congélation immédiate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Ig monoclonales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 en série + DTT pour dissocier les agrégats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Auto-anticorps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Dosage parallèle des IgA sériques pour exclure un déficit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Hémolyse occulte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Hemoccult® préalable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Ces interférences justifient une </w:t>
      </w:r>
      <w:r>
        <w:rPr>
          <w:rFonts w:eastAsia="inter" w:cs="inter" w:ascii="inter" w:hAnsi="inter"/>
          <w:b/>
          <w:color w:val="000000"/>
        </w:rPr>
        <w:t xml:space="preserve">validation systématique par dilutions en série</w:t>
      </w:r>
      <w:r>
        <w:rPr>
          <w:rFonts w:eastAsia="inter" w:cs="inter" w:ascii="inter" w:hAnsi="inter"/>
          <w:color w:val="000000"/>
        </w:rPr>
        <w:t xml:space="preserve"> et un </w:t>
      </w:r>
      <w:r>
        <w:rPr>
          <w:rFonts w:eastAsia="inter" w:cs="inter" w:ascii="inter" w:hAnsi="inter"/>
          <w:b/>
          <w:color w:val="000000"/>
        </w:rPr>
        <w:t xml:space="preserve">couplage avec la calprotectine fécale</w:t>
      </w:r>
      <w:r>
        <w:rPr>
          <w:rFonts w:eastAsia="inter" w:cs="inter" w:ascii="inter" w:hAnsi="inter"/>
          <w:color w:val="000000"/>
        </w:rPr>
        <w:t xml:space="preserve"> pour discriminer les artefacts techniques des pathologies inflammatoires réelles</w:t>
      </w:r>
      <w:bookmarkStart w:id="26" w:name="fnref2:15"/>
      <w:bookmarkEnd w:id="2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7" w:name="fnref3:7"/>
      <w:bookmarkEnd w:id="2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8" w:name="fn1"/>
    <w:bookmarkEnd w:id="28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https://bio17.manuelprelevement.fr/DocumentNew.aspx?idDoc=17729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2"/>
    <w:bookmarkEnd w:id="29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https://www.em-consulte.com/article/1278347/interferences-et-pieges-en-immuno-analyse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3"/>
    <w:bookmarkEnd w:id="30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https://geai-lesautoanticorps.fr/wp-content/uploads/2023/11/GEAI-L-Info-Special-01.pdf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4"/>
    <w:bookmarkEnd w:id="31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https://www.msdmanuals.com/fr/professional/immunologie-troubles-allergiques/déficits-immunitaires/déficit-sélectif-en-iga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5"/>
    <w:bookmarkEnd w:id="32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https://pdf.hres.ca/dpd_pm/00063887.PDF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2b37b09471ae11e3ab12a335f221ab569098370.png" TargetMode="Internal"/><Relationship Id="rId6" Type="http://schemas.openxmlformats.org/officeDocument/2006/relationships/hyperlink" Target="https://bio17.manuelprelevement.fr/DocumentNew.aspx?idDoc=17729" TargetMode="External"/><Relationship Id="rId7" Type="http://schemas.openxmlformats.org/officeDocument/2006/relationships/hyperlink" Target="https://www.em-consulte.com/article/1278347/interferences-et-pieges-en-immuno-analyse" TargetMode="External"/><Relationship Id="rId8" Type="http://schemas.openxmlformats.org/officeDocument/2006/relationships/hyperlink" Target="https://geai-lesautoanticorps.fr/wp-content/uploads/2023/11/GEAI-L-Info-Special-01.pdf" TargetMode="External"/><Relationship Id="rId9" Type="http://schemas.openxmlformats.org/officeDocument/2006/relationships/hyperlink" Target="https://www.msdmanuals.com/fr/professional/immunologie-troubles-allergiques/d%C3%A9ficits-immunitaires/d%C3%A9ficit-s%C3%A9lectif-en-iga" TargetMode="External"/><Relationship Id="rId10" Type="http://schemas.openxmlformats.org/officeDocument/2006/relationships/hyperlink" Target="https://pdf.hres.ca/dpd_pm/00063887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2025-04-14T14:37:16.424Z</dcterms:created>
  <dcterms:modified xsi:type="dcterms:W3CDTF">2025-04-14T14:37:16.424Z</dcterms:modified>
</cp:coreProperties>
</file>