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a365b92fd49d293d1cc3d9b419b3df7b790dad06.png"/>
            <a:graphic>
              <a:graphicData uri="http://schemas.openxmlformats.org/drawingml/2006/picture">
                <pic:pic>
                  <pic:nvPicPr>
                    <pic:cNvPr id="1" name="image-a365b92fd49d293d1cc3d9b419b3df7b790dad0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Quels sont les signes d'une mauvaise dilution des IgA fécaux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Les signes d'une </w:t>
      </w:r>
      <w:r>
        <w:rPr>
          <w:rFonts w:eastAsia="inter" w:cs="inter" w:ascii="inter" w:hAnsi="inter"/>
          <w:b/>
          <w:color w:val="000000"/>
        </w:rPr>
        <w:t xml:space="preserve">mauvaise dilution des IgA fécales</w:t>
      </w:r>
      <w:r>
        <w:rPr>
          <w:rFonts w:eastAsia="inter" w:cs="inter" w:ascii="inter" w:hAnsi="inter"/>
          <w:color w:val="000000"/>
        </w:rPr>
        <w:t xml:space="preserve"> ne sont pas directement visibles cliniquement, mais se traduisent par des </w:t>
      </w:r>
      <w:r>
        <w:rPr>
          <w:rFonts w:eastAsia="inter" w:cs="inter" w:ascii="inter" w:hAnsi="inter"/>
          <w:b/>
          <w:color w:val="000000"/>
        </w:rPr>
        <w:t xml:space="preserve">anomalies analytiques</w:t>
      </w:r>
      <w:r>
        <w:rPr>
          <w:rFonts w:eastAsia="inter" w:cs="inter" w:ascii="inter" w:hAnsi="inter"/>
          <w:color w:val="000000"/>
        </w:rPr>
        <w:t xml:space="preserve"> pouvant fausser l'interprétation diagnostique. Voici les principaux indicateurs 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Résultats incohérents avec le tableau clinique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Faux négatifs</w:t>
      </w:r>
      <w:r>
        <w:rPr>
          <w:rFonts w:eastAsia="inter" w:cs="inter" w:ascii="inter" w:hAnsi="inter"/>
          <w:color w:val="000000"/>
          <w:sz w:val="21"/>
        </w:rPr>
        <w:t xml:space="preserve"> (sous-estimation) 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IgA mesurées anormalement basses malgré des symptômes évocateurs (ex : diarrhée chronique, maladie cœliaque suspectée).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Discordance avec d'autres marqueurs inflammatoires (ex : calprotectine fécale élevée avec IgA normales)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Faux positifs</w:t>
      </w:r>
      <w:r>
        <w:rPr>
          <w:rFonts w:eastAsia="inter" w:cs="inter" w:ascii="inter" w:hAnsi="inter"/>
          <w:color w:val="000000"/>
          <w:sz w:val="21"/>
        </w:rPr>
        <w:t xml:space="preserve"> (sur-estimation) 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IgA élevées sans contexte inflammatoire évident, pouvant suggérer une interférence technique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2:1"/>
      <w:bookmarkEnd w:id="3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Anomalies techniques lors de l'analyse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Effet prozone</w:t>
      </w:r>
      <w:r>
        <w:rPr>
          <w:rFonts w:eastAsia="inter" w:cs="inter" w:ascii="inter" w:hAnsi="inter"/>
          <w:color w:val="000000"/>
          <w:sz w:val="21"/>
        </w:rPr>
        <w:t xml:space="preserve"> 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Résultats paradoxalement bas malgré une forte concentration d'IgA (saturation des réactifs), détectable par des </w:t>
      </w:r>
      <w:r>
        <w:rPr>
          <w:rFonts w:eastAsia="inter" w:cs="inter" w:ascii="inter" w:hAnsi="inter"/>
          <w:b/>
          <w:color w:val="000000"/>
          <w:sz w:val="21"/>
        </w:rPr>
        <w:t xml:space="preserve">dilutions en série</w:t>
      </w:r>
      <w:r>
        <w:rPr>
          <w:rFonts w:eastAsia="inter" w:cs="inter" w:ascii="inter" w:hAnsi="inter"/>
          <w:color w:val="000000"/>
          <w:sz w:val="21"/>
        </w:rPr>
        <w:t xml:space="preserve"> révélant une augmentation des valeurs après dilution</w:t>
      </w:r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Variabilité inter-essais</w:t>
      </w:r>
      <w:r>
        <w:rPr>
          <w:rFonts w:eastAsia="inter" w:cs="inter" w:ascii="inter" w:hAnsi="inter"/>
          <w:color w:val="000000"/>
          <w:sz w:val="21"/>
        </w:rPr>
        <w:t xml:space="preserve"> 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Différences significatives entre des dosages répétés du même échantillon, liées à une dilution inhomogène ou à des agrégats non dissociés</w:t>
      </w:r>
      <w:bookmarkStart w:id="5" w:name="fnref3:2"/>
      <w:bookmarkEnd w:id="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Interférences associées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Présence d'IgA monoclonales</w:t>
      </w:r>
      <w:r>
        <w:rPr>
          <w:rFonts w:eastAsia="inter" w:cs="inter" w:ascii="inter" w:hAnsi="inter"/>
          <w:color w:val="000000"/>
          <w:sz w:val="21"/>
        </w:rPr>
        <w:t xml:space="preserve"> 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Agrégats provoquant une </w:t>
      </w:r>
      <w:r>
        <w:rPr>
          <w:rFonts w:eastAsia="inter" w:cs="inter" w:ascii="inter" w:hAnsi="inter"/>
          <w:b/>
          <w:color w:val="000000"/>
          <w:sz w:val="21"/>
        </w:rPr>
        <w:t xml:space="preserve">hyperviscosité</w:t>
      </w:r>
      <w:r>
        <w:rPr>
          <w:rFonts w:eastAsia="inter" w:cs="inter" w:ascii="inter" w:hAnsi="inter"/>
          <w:color w:val="000000"/>
          <w:sz w:val="21"/>
        </w:rPr>
        <w:t xml:space="preserve"> ou une </w:t>
      </w:r>
      <w:r>
        <w:rPr>
          <w:rFonts w:eastAsia="inter" w:cs="inter" w:ascii="inter" w:hAnsi="inter"/>
          <w:b/>
          <w:color w:val="000000"/>
          <w:sz w:val="21"/>
        </w:rPr>
        <w:t xml:space="preserve">hémodilution passive</w:t>
      </w:r>
      <w:r>
        <w:rPr>
          <w:rFonts w:eastAsia="inter" w:cs="inter" w:ascii="inter" w:hAnsi="inter"/>
          <w:color w:val="000000"/>
          <w:sz w:val="21"/>
        </w:rPr>
        <w:t xml:space="preserve">, perturbant la précision des mesures (ex : IgA &gt; 30 g/L dans les syndromes de surproduction)</w:t>
      </w:r>
      <w:bookmarkStart w:id="6" w:name="fnref3:3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Matrice fécale complexe</w:t>
      </w:r>
      <w:r>
        <w:rPr>
          <w:rFonts w:eastAsia="inter" w:cs="inter" w:ascii="inter" w:hAnsi="inter"/>
          <w:color w:val="000000"/>
          <w:sz w:val="21"/>
        </w:rPr>
        <w:t xml:space="preserve"> :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Lipides, bilirubine ou protéases résiduelles interférant avec les anticorps de détection, entraînant des </w:t>
      </w:r>
      <w:r>
        <w:rPr>
          <w:rFonts w:eastAsia="inter" w:cs="inter" w:ascii="inter" w:hAnsi="inter"/>
          <w:b/>
          <w:color w:val="000000"/>
          <w:sz w:val="21"/>
        </w:rPr>
        <w:t xml:space="preserve">courbes de dilution non linéaires</w:t>
      </w:r>
      <w:bookmarkStart w:id="7" w:name="fnref3:4"/>
      <w:bookmarkEnd w:id="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8" w:name="fnref2:2"/>
      <w:bookmarkEnd w:id="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Solutions pour identifier une mauvaise dilution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Indicateur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Méthode corrective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Résultats cliniquement incohérents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Dilutions en série (1:5 à 1:20)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Effet prozone suspecté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Ajout de DTT pour dissocier les agrégats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Variabilité analytique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Contrôles internes avec IgA exogènes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Interférences matricielles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Tampons de blocage (albumine bovine)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Contexte clinique associé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Déficit en IgA</w:t>
      </w:r>
      <w:r>
        <w:rPr>
          <w:rFonts w:eastAsia="inter" w:cs="inter" w:ascii="inter" w:hAnsi="inter"/>
          <w:color w:val="000000"/>
          <w:sz w:val="21"/>
        </w:rPr>
        <w:t xml:space="preserve"> (IgA sériques &lt; 7 mg/dL) : Risque de </w:t>
      </w:r>
      <w:r>
        <w:rPr>
          <w:rFonts w:eastAsia="inter" w:cs="inter" w:ascii="inter" w:hAnsi="inter"/>
          <w:b/>
          <w:color w:val="000000"/>
          <w:sz w:val="21"/>
        </w:rPr>
        <w:t xml:space="preserve">faux négatifs</w:t>
      </w:r>
      <w:r>
        <w:rPr>
          <w:rFonts w:eastAsia="inter" w:cs="inter" w:ascii="inter" w:hAnsi="inter"/>
          <w:color w:val="000000"/>
          <w:sz w:val="21"/>
        </w:rPr>
        <w:t xml:space="preserve"> si les IgA fécales sont interprétées sans vérifier le statut systémique</w:t>
      </w:r>
      <w:bookmarkStart w:id="9" w:name="fnref1:1"/>
      <w:bookmarkEnd w:id="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0" w:name="fnref4"/>
      <w:bookmarkEnd w:id="10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Maladies inflammatoires intestinales</w:t>
      </w:r>
      <w:r>
        <w:rPr>
          <w:rFonts w:eastAsia="inter" w:cs="inter" w:ascii="inter" w:hAnsi="inter"/>
          <w:color w:val="000000"/>
          <w:sz w:val="21"/>
        </w:rPr>
        <w:t xml:space="preserve"> : Les IgA fécales peuvent être </w:t>
      </w:r>
      <w:r>
        <w:rPr>
          <w:rFonts w:eastAsia="inter" w:cs="inter" w:ascii="inter" w:hAnsi="inter"/>
          <w:b/>
          <w:color w:val="000000"/>
          <w:sz w:val="21"/>
        </w:rPr>
        <w:t xml:space="preserve">faussement rassurantes</w:t>
      </w:r>
      <w:r>
        <w:rPr>
          <w:rFonts w:eastAsia="inter" w:cs="inter" w:ascii="inter" w:hAnsi="inter"/>
          <w:color w:val="000000"/>
          <w:sz w:val="21"/>
        </w:rPr>
        <w:t xml:space="preserve"> en cas de dilution incorrecte, retardant le diagnostic</w:t>
      </w:r>
      <w:bookmarkStart w:id="11" w:name="fnref2:3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2" w:name="fnref5"/>
      <w:bookmarkEnd w:id="1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Pour éviter ces écueils, une </w:t>
      </w:r>
      <w:r>
        <w:rPr>
          <w:rFonts w:eastAsia="inter" w:cs="inter" w:ascii="inter" w:hAnsi="inter"/>
          <w:b/>
          <w:color w:val="000000"/>
        </w:rPr>
        <w:t xml:space="preserve">homogénéisation rigoureuse</w:t>
      </w:r>
      <w:r>
        <w:rPr>
          <w:rFonts w:eastAsia="inter" w:cs="inter" w:ascii="inter" w:hAnsi="inter"/>
          <w:color w:val="000000"/>
        </w:rPr>
        <w:t xml:space="preserve"> des échantillons et des </w:t>
      </w:r>
      <w:r>
        <w:rPr>
          <w:rFonts w:eastAsia="inter" w:cs="inter" w:ascii="inter" w:hAnsi="inter"/>
          <w:b/>
          <w:color w:val="000000"/>
        </w:rPr>
        <w:t xml:space="preserve">protocoles de dilution standardisés</w:t>
      </w:r>
      <w:r>
        <w:rPr>
          <w:rFonts w:eastAsia="inter" w:cs="inter" w:ascii="inter" w:hAnsi="inter"/>
          <w:color w:val="000000"/>
        </w:rPr>
        <w:t xml:space="preserve"> sont essentiels</w:t>
      </w:r>
      <w:bookmarkStart w:id="13" w:name="fnref3:5"/>
      <w:bookmarkEnd w:id="13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14" w:name="fnref2:4"/>
      <w:bookmarkEnd w:id="14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5" w:name="fn1"/>
    <w:bookmarkEnd w:id="15"/>
    <w:p>
      <w:pPr>
        <w:numPr>
          <w:ilvl w:val="0"/>
          <w:numId w:val="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https://www.msdmanuals.com/fr/accueil/troubles-immunitaires/déficits-immunitaires/déficit-sélectif-en-immunoglobulines-a-iga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2"/>
    <w:bookmarkEnd w:id="16"/>
    <w:p>
      <w:pPr>
        <w:numPr>
          <w:ilvl w:val="0"/>
          <w:numId w:val="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https://www.biron.com/fr/glossaire/iga/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3"/>
    <w:bookmarkEnd w:id="17"/>
    <w:p>
      <w:pPr>
        <w:numPr>
          <w:ilvl w:val="0"/>
          <w:numId w:val="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https://lesbiologistesmedicaux.fr/images/cahiers/2003-Bioforma-28-Immunoglobulines monoclonales.pdf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4"/>
    <w:bookmarkEnd w:id="18"/>
    <w:p>
      <w:pPr>
        <w:numPr>
          <w:ilvl w:val="0"/>
          <w:numId w:val="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https://www.msdmanuals.com/fr/professional/immunologie-troubles-allergiques/déficits-immunitaires/déficit-sélectif-en-iga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5"/>
    <w:bookmarkEnd w:id="19"/>
    <w:p>
      <w:pPr>
        <w:numPr>
          <w:ilvl w:val="0"/>
          <w:numId w:val="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https://theses.vet-alfort.fr/telecharger.php?id=131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fr-FR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365b92fd49d293d1cc3d9b419b3df7b790dad06.png" TargetMode="Internal"/><Relationship Id="rId6" Type="http://schemas.openxmlformats.org/officeDocument/2006/relationships/hyperlink" Target="https://www.msdmanuals.com/fr/accueil/troubles-immunitaires/d%C3%A9ficits-immunitaires/d%C3%A9ficit-s%C3%A9lectif-en-immunoglobulines-a-iga" TargetMode="External"/><Relationship Id="rId7" Type="http://schemas.openxmlformats.org/officeDocument/2006/relationships/hyperlink" Target="https://www.biron.com/fr/glossaire/iga/" TargetMode="External"/><Relationship Id="rId8" Type="http://schemas.openxmlformats.org/officeDocument/2006/relationships/hyperlink" Target="https://lesbiologistesmedicaux.fr/images/cahiers/2003-Bioforma-28-Immunoglobulines%20monoclonales.pdf" TargetMode="External"/><Relationship Id="rId9" Type="http://schemas.openxmlformats.org/officeDocument/2006/relationships/hyperlink" Target="https://www.msdmanuals.com/fr/professional/immunologie-troubles-allergiques/d%C3%A9ficits-immunitaires/d%C3%A9ficit-s%C3%A9lectif-en-iga" TargetMode="External"/><Relationship Id="rId10" Type="http://schemas.openxmlformats.org/officeDocument/2006/relationships/hyperlink" Target="https://theses.vet-alfort.fr/telecharger.php?id=131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2025-04-14T14:37:16.012Z</dcterms:created>
  <dcterms:modified xsi:type="dcterms:W3CDTF">2025-04-14T14:37:16.012Z</dcterms:modified>
</cp:coreProperties>
</file>