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d54ad529bb50158cf988d6d638558d595b97a8f0.png"/>
            <a:graphic>
              <a:graphicData uri="http://schemas.openxmlformats.org/drawingml/2006/picture">
                <pic:pic>
                  <pic:nvPicPr>
                    <pic:cNvPr id="1" name="image-d54ad529bb50158cf988d6d638558d595b97a8f0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Quelles sont les meilleures pratiques pour éviter les problèmes de dilution lors de la mesure des IgA fécaux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Meilleures pratiques pour éviter les problèmes de dilution lors du dosage des IgA fécales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Standardisation de la préparation des échantillons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Homogénéisation</w:t>
      </w:r>
      <w:r>
        <w:rPr>
          <w:rFonts w:eastAsia="inter" w:cs="inter" w:ascii="inter" w:hAnsi="inter"/>
          <w:color w:val="000000"/>
          <w:sz w:val="21"/>
        </w:rPr>
        <w:t xml:space="preserve"> : Mélanger soigneusement les selles avant prélèvement pour éviter l’hétérogénéité naturelle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Dilution systématique</w:t>
      </w:r>
      <w:r>
        <w:rPr>
          <w:rFonts w:eastAsia="inter" w:cs="inter" w:ascii="inter" w:hAnsi="inter"/>
          <w:color w:val="000000"/>
          <w:sz w:val="21"/>
        </w:rPr>
        <w:t xml:space="preserve"> : Appliquer une dilution initiale contrôlée (ex : 1:2,5 à 1:5 selon la méthode) pour atténuer les effets de matrice</w:t>
      </w:r>
      <w:bookmarkStart w:id="1" w:name="fnref1:1"/>
      <w:bookmarkEnd w:id="1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2" w:name="fnref2"/>
      <w:bookmarkEnd w:id="2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Agents réducteurs</w:t>
      </w:r>
      <w:r>
        <w:rPr>
          <w:rFonts w:eastAsia="inter" w:cs="inter" w:ascii="inter" w:hAnsi="inter"/>
          <w:color w:val="000000"/>
          <w:sz w:val="21"/>
        </w:rPr>
        <w:t xml:space="preserve"> : Ajouter du DTT (dithiothréitol) pour dissocier les agrégats d’IgA monoclonaux ou polymériques, réduisant le risque de faux résultats liés à la viscosité</w:t>
      </w:r>
      <w:bookmarkStart w:id="3" w:name="fnref2:1"/>
      <w:bookmarkEnd w:id="3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Gestion des interférences matricielles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Tampons de dilution adaptés</w:t>
      </w:r>
      <w:r>
        <w:rPr>
          <w:rFonts w:eastAsia="inter" w:cs="inter" w:ascii="inter" w:hAnsi="inter"/>
          <w:color w:val="000000"/>
          <w:sz w:val="21"/>
        </w:rPr>
        <w:t xml:space="preserve"> : Utiliser des solutions contenant des agents bloquants (albumine bovine, Tween 20) pour minimiser les liaisons non spécifiques</w:t>
      </w:r>
      <w:bookmarkStart w:id="4" w:name="fnref2:2"/>
      <w:bookmarkEnd w:id="4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5" w:name="fnref3"/>
      <w:bookmarkEnd w:id="5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Contrôle de la consistance</w:t>
      </w:r>
      <w:r>
        <w:rPr>
          <w:rFonts w:eastAsia="inter" w:cs="inter" w:ascii="inter" w:hAnsi="inter"/>
          <w:color w:val="000000"/>
          <w:sz w:val="21"/>
        </w:rPr>
        <w:t xml:space="preserve"> :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Selles liquides</w:t>
      </w:r>
      <w:r>
        <w:rPr>
          <w:rFonts w:eastAsia="inter" w:cs="inter" w:ascii="inter" w:hAnsi="inter"/>
          <w:color w:val="000000"/>
          <w:sz w:val="21"/>
        </w:rPr>
        <w:t xml:space="preserve"> : Normaliser le volume par poids (ex : rapport poids/volume) si possible.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Selles solides</w:t>
      </w:r>
      <w:r>
        <w:rPr>
          <w:rFonts w:eastAsia="inter" w:cs="inter" w:ascii="inter" w:hAnsi="inter"/>
          <w:color w:val="000000"/>
          <w:sz w:val="21"/>
        </w:rPr>
        <w:t xml:space="preserve"> : Préciser la quantité exacte de selles diluées (ex : 100 mg/ml)</w:t>
      </w:r>
      <w:bookmarkStart w:id="6" w:name="fnref4"/>
      <w:bookmarkEnd w:id="6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Prévention du phénomène de prozone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Dilutions en série</w:t>
      </w:r>
      <w:r>
        <w:rPr>
          <w:rFonts w:eastAsia="inter" w:cs="inter" w:ascii="inter" w:hAnsi="inter"/>
          <w:color w:val="000000"/>
          <w:sz w:val="21"/>
        </w:rPr>
        <w:t xml:space="preserve"> : Réaliser des dilutions croissantes (1:5, 1:10, 1:20) pour identifier les échantillons à haute concentration où un excès d’antigène peut masquer la réaction</w:t>
      </w:r>
      <w:bookmarkStart w:id="7" w:name="fnref1:2"/>
      <w:bookmarkEnd w:id="7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8" w:name="fnref5"/>
      <w:bookmarkEnd w:id="8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Automation</w:t>
      </w:r>
      <w:r>
        <w:rPr>
          <w:rFonts w:eastAsia="inter" w:cs="inter" w:ascii="inter" w:hAnsi="inter"/>
          <w:color w:val="000000"/>
          <w:sz w:val="21"/>
        </w:rPr>
        <w:t xml:space="preserve"> : Privilégier les automates de dilution pour garantir la reproductibilité, notamment en cas de titrage</w:t>
      </w:r>
      <w:bookmarkStart w:id="9" w:name="fnref2:3"/>
      <w:bookmarkEnd w:id="9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10" w:name="fnref3:1"/>
      <w:bookmarkEnd w:id="10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Contrôles qualité et validation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Contrôles internes</w:t>
      </w:r>
      <w:r>
        <w:rPr>
          <w:rFonts w:eastAsia="inter" w:cs="inter" w:ascii="inter" w:hAnsi="inter"/>
          <w:color w:val="000000"/>
          <w:sz w:val="21"/>
        </w:rPr>
        <w:t xml:space="preserve"> : Inclure des échantillons positifs/négatifs dans chaque série pour vérifier la linéarité et la spécificité</w:t>
      </w:r>
      <w:bookmarkStart w:id="11" w:name="fnref1:3"/>
      <w:bookmarkEnd w:id="11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12" w:name="fnref2:4"/>
      <w:bookmarkEnd w:id="12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Couplage de marqueurs</w:t>
      </w:r>
      <w:r>
        <w:rPr>
          <w:rFonts w:eastAsia="inter" w:cs="inter" w:ascii="inter" w:hAnsi="inter"/>
          <w:color w:val="000000"/>
          <w:sz w:val="21"/>
        </w:rPr>
        <w:t xml:space="preserve"> : Associer le dosage des IgA fécales à la calprotectine pour distinguer une inflammation réelle d’une interférence technique</w:t>
      </w:r>
      <w:bookmarkStart w:id="13" w:name="fnref5:1"/>
      <w:bookmarkEnd w:id="13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 Optimisation pré-analytique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Stabilisation</w:t>
      </w:r>
      <w:r>
        <w:rPr>
          <w:rFonts w:eastAsia="inter" w:cs="inter" w:ascii="inter" w:hAnsi="inter"/>
          <w:color w:val="000000"/>
          <w:sz w:val="21"/>
        </w:rPr>
        <w:t xml:space="preserve"> : Ajouter des inhibiteurs de protéases (AEBSF) immédiatement après le prélèvement pour éviter la dégradation des IgA</w:t>
      </w:r>
      <w:bookmarkStart w:id="14" w:name="fnref6"/>
      <w:bookmarkEnd w:id="14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Conservation</w:t>
      </w:r>
      <w:r>
        <w:rPr>
          <w:rFonts w:eastAsia="inter" w:cs="inter" w:ascii="inter" w:hAnsi="inter"/>
          <w:color w:val="000000"/>
          <w:sz w:val="21"/>
        </w:rPr>
        <w:t xml:space="preserve"> : Congeler les échantillons à -80°C dans l’heure suivant le prélèvement pour préserver l’intégrité des immunoglobulines</w:t>
      </w:r>
      <w:bookmarkStart w:id="15" w:name="fnref3:2"/>
      <w:bookmarkEnd w:id="15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16" w:name="fnref3:3"/>
      <w:bookmarkEnd w:id="16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6. Interprétation clinique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Contexte clinique</w:t>
      </w:r>
      <w:r>
        <w:rPr>
          <w:rFonts w:eastAsia="inter" w:cs="inter" w:ascii="inter" w:hAnsi="inter"/>
          <w:color w:val="000000"/>
          <w:sz w:val="21"/>
        </w:rPr>
        <w:t xml:space="preserve"> : Croiser les résultats avec des symptômes (ex : maladie cœliaque suspectée) et d’autres marqueurs (IgA sériques totales pour exclure un déficit)</w:t>
      </w:r>
      <w:bookmarkStart w:id="17" w:name="fnref4:1"/>
      <w:bookmarkEnd w:id="17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18" w:name="fnref6:1"/>
      <w:bookmarkEnd w:id="18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  <w:bookmarkStart w:id="19" w:name="fnref7"/>
      <w:bookmarkEnd w:id="19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Reprise des tests</w:t>
      </w:r>
      <w:r>
        <w:rPr>
          <w:rFonts w:eastAsia="inter" w:cs="inter" w:ascii="inter" w:hAnsi="inter"/>
          <w:color w:val="000000"/>
          <w:sz w:val="21"/>
        </w:rPr>
        <w:t xml:space="preserve"> : En cas de discordance, refaire le dosage après ajustement des dilutions ou prélèvement d’un nouvel échantillon</w:t>
      </w:r>
      <w:bookmarkStart w:id="20" w:name="fnref1:4"/>
      <w:bookmarkEnd w:id="2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21" w:name="fnref5:2"/>
      <w:bookmarkEnd w:id="21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Synthèse des solutions clés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4755"/>
        <w:gridCol w:w="4755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Problème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Solution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Dilution inhomogène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Homogénéisation rigoureuse + dilution standardisée</w:t>
            </w:r>
            <w:hyperlink w:anchor="fn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[1]</w:t>
              </w:r>
            </w:hyperlink>
            <w:hyperlink w:anchor="fn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[3]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Prozone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Dilutions en série automatisées</w:t>
            </w:r>
            <w:hyperlink w:anchor="fn1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[1]</w:t>
              </w:r>
            </w:hyperlink>
            <w:hyperlink w:anchor="fn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Agrégats d’IgA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DTT + tampons réducteurs</w:t>
            </w:r>
            <w:hyperlink w:anchor="fn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Dégradation enzymatique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Inhibiteurs de protéases + congélation rapide</w:t>
            </w:r>
            <w:hyperlink w:anchor="fn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[3]</w:t>
              </w:r>
            </w:hyperlink>
            <w:hyperlink w:anchor="fn6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[6]</w:t>
              </w:r>
            </w:hyperlink>
          </w:p>
        </w:tc>
      </w:tr>
    </w:tbl>
    <w:p>
      <w:pPr>
        <w:spacing w:lineRule="auto"/>
      </w:pP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Ces pratiques, inspirées des protocoles utilisés pour les IgA sériques (maladie cœliaque) et adaptées aux spécificités fécales, optimisent la fiabilité des résultats</w:t>
      </w:r>
      <w:bookmarkStart w:id="22" w:name="fnref4:2"/>
      <w:bookmarkEnd w:id="22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  <w:bookmarkStart w:id="23" w:name="fnref5:3"/>
      <w:bookmarkEnd w:id="23"/>
      <w:hyperlink w:anchor="fn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[5]</w:t>
        </w:r>
      </w:hyperlink>
      <w:bookmarkStart w:id="24" w:name="fnref8"/>
      <w:bookmarkEnd w:id="24"/>
      <w:hyperlink w:anchor="fn8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[8]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lineRule="auto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25" w:name="fn1"/>
    <w:bookmarkEnd w:id="25"/>
    <w:p>
      <w:pPr>
        <w:numPr>
          <w:ilvl w:val="0"/>
          <w:numId w:val="8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https://www.menarinidiagnostics.fr/Portals/17/pdf/37790_ENDOMYSIUM TEST(Muscle Lisse de Primate).pdf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6" w:name="fn2"/>
    <w:bookmarkEnd w:id="26"/>
    <w:p>
      <w:pPr>
        <w:numPr>
          <w:ilvl w:val="0"/>
          <w:numId w:val="8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https://geai-lesautoanticorps.fr/wp-content/uploads/2023/11/GEAI-L-Info-Special-01.pdf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7" w:name="fn3"/>
    <w:bookmarkEnd w:id="27"/>
    <w:p>
      <w:pPr>
        <w:numPr>
          <w:ilvl w:val="0"/>
          <w:numId w:val="8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https://www.optmq.org/DATA/TEXTEDOC/14-2-Guide-de-transport-et-de-conservation-des-echantillons-dans-le-domaine-de-la-biologie-medicale.pdf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8" w:name="fn4"/>
    <w:bookmarkEnd w:id="28"/>
    <w:p>
      <w:pPr>
        <w:numPr>
          <w:ilvl w:val="0"/>
          <w:numId w:val="8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https://pmc.ncbi.nlm.nih.gov/articles/PMC4721855/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9" w:name="fn5"/>
    <w:bookmarkEnd w:id="29"/>
    <w:p>
      <w:pPr>
        <w:numPr>
          <w:ilvl w:val="0"/>
          <w:numId w:val="8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https://pap-pediatrie.fr/hepato-gastro/diagnostic-de-la-maladie-coeliaque-chez-lenfant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0" w:name="fn6"/>
    <w:bookmarkEnd w:id="30"/>
    <w:p>
      <w:pPr>
        <w:numPr>
          <w:ilvl w:val="0"/>
          <w:numId w:val="8"/>
        </w:numPr>
        <w:spacing w:line="360" w:after="210" w:lineRule="auto"/>
      </w:pPr>
      <w:hyperlink r:id="rId1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https://www.msdmanuals.com/fr/accueil/troubles-immunitaires/déficits-immunitaires/déficit-sélectif-en-immunoglobulines-a-iga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1" w:name="fn7"/>
    <w:bookmarkEnd w:id="31"/>
    <w:p>
      <w:pPr>
        <w:numPr>
          <w:ilvl w:val="0"/>
          <w:numId w:val="8"/>
        </w:numPr>
        <w:spacing w:line="360" w:after="210" w:lineRule="auto"/>
      </w:pPr>
      <w:hyperlink r:id="rId1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https://www.fmcgastro.org/texte-postu/postu-2024/diagnostic-et-traitement-de-la-maladie-coeliaque-mise-a-jour-des-recommandations-americaines-american-college-of-gastroenterology/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2" w:name="fn8"/>
    <w:bookmarkEnd w:id="32"/>
    <w:p>
      <w:pPr>
        <w:numPr>
          <w:ilvl w:val="0"/>
          <w:numId w:val="8"/>
        </w:numPr>
        <w:spacing w:line="360" w:after="210" w:lineRule="auto"/>
      </w:pPr>
      <w:hyperlink r:id="rId1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https://www.biron.com/fr/glossaire/transglutaminases-iga/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</w:abstractNum>
  <w:abstractNum w:abstractNumId="8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fr-FR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fr-FR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d54ad529bb50158cf988d6d638558d595b97a8f0.png" TargetMode="Internal"/><Relationship Id="rId6" Type="http://schemas.openxmlformats.org/officeDocument/2006/relationships/hyperlink" Target="https://www.menarinidiagnostics.fr/Portals/17/pdf/37790_ENDOMYSIUM%20TEST(Muscle%20Lisse%20de%20Primate).pdf" TargetMode="External"/><Relationship Id="rId7" Type="http://schemas.openxmlformats.org/officeDocument/2006/relationships/hyperlink" Target="https://geai-lesautoanticorps.fr/wp-content/uploads/2023/11/GEAI-L-Info-Special-01.pdf" TargetMode="External"/><Relationship Id="rId8" Type="http://schemas.openxmlformats.org/officeDocument/2006/relationships/hyperlink" Target="https://www.optmq.org/DATA/TEXTEDOC/14-2-Guide-de-transport-et-de-conservation-des-echantillons-dans-le-domaine-de-la-biologie-medicale.pdf" TargetMode="External"/><Relationship Id="rId9" Type="http://schemas.openxmlformats.org/officeDocument/2006/relationships/hyperlink" Target="https://pmc.ncbi.nlm.nih.gov/articles/PMC4721855/" TargetMode="External"/><Relationship Id="rId10" Type="http://schemas.openxmlformats.org/officeDocument/2006/relationships/hyperlink" Target="https://pap-pediatrie.fr/hepato-gastro/diagnostic-de-la-maladie-coeliaque-chez-lenfant" TargetMode="External"/><Relationship Id="rId11" Type="http://schemas.openxmlformats.org/officeDocument/2006/relationships/hyperlink" Target="https://www.msdmanuals.com/fr/accueil/troubles-immunitaires/d%C3%A9ficits-immunitaires/d%C3%A9ficit-s%C3%A9lectif-en-immunoglobulines-a-iga" TargetMode="External"/><Relationship Id="rId12" Type="http://schemas.openxmlformats.org/officeDocument/2006/relationships/hyperlink" Target="https://www.fmcgastro.org/texte-postu/postu-2024/diagnostic-et-traitement-de-la-maladie-coeliaque-mise-a-jour-des-recommandations-americaines-american-college-of-gastroenterology/" TargetMode="External"/><Relationship Id="rId13" Type="http://schemas.openxmlformats.org/officeDocument/2006/relationships/hyperlink" Target="https://www.biron.com/fr/glossaire/transglutaminases-iga/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2025-04-14T14:37:15.962Z</dcterms:created>
  <dcterms:modified xsi:type="dcterms:W3CDTF">2025-04-14T14:37:15.962Z</dcterms:modified>
</cp:coreProperties>
</file>