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4f91a1c3ec4792a6fe60ad6f32a322ca4fad6bb2.png"/>
            <a:graphic>
              <a:graphicData uri="http://schemas.openxmlformats.org/drawingml/2006/picture">
                <pic:pic>
                  <pic:nvPicPr>
                    <pic:cNvPr id="1" name="image-4f91a1c3ec4792a6fe60ad6f32a322ca4fad6bb2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Quels sont les critères pour évaluer la qualité de la dilution des IgA fécaux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Critères pour évaluer la qualité de la dilution des IgA fécaux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Linéarité des dilutions en série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Courbe de dilution</w:t>
      </w:r>
      <w:r>
        <w:rPr>
          <w:rFonts w:eastAsia="inter" w:cs="inter" w:ascii="inter" w:hAnsi="inter"/>
          <w:color w:val="000000"/>
          <w:sz w:val="21"/>
        </w:rPr>
        <w:t xml:space="preserve"> : Vérifier que les résultats suivent une relation linéaire après dilution progressive (ex : 1:5, 1:10, 1:20). Une non-linéarité suggère une interférence ou une saturation des réactifs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Facteur de dilution correct</w:t>
      </w:r>
      <w:r>
        <w:rPr>
          <w:rFonts w:eastAsia="inter" w:cs="inter" w:ascii="inter" w:hAnsi="inter"/>
          <w:color w:val="000000"/>
          <w:sz w:val="21"/>
        </w:rPr>
        <w:t xml:space="preserve"> : Confirmer que le résultat final, après multiplication par le facteur de dilution, reste cohérent avec les attentes cliniques (ex : absence de valeurs aberrantes)</w:t>
      </w:r>
      <w:bookmarkStart w:id="2" w:name="fnref1:1"/>
      <w:bookmarkEnd w:id="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3" w:name="fnref3"/>
      <w:bookmarkEnd w:id="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Contrôle des interférences matricielles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Récupération post-dilution</w:t>
      </w:r>
      <w:r>
        <w:rPr>
          <w:rFonts w:eastAsia="inter" w:cs="inter" w:ascii="inter" w:hAnsi="inter"/>
          <w:color w:val="000000"/>
          <w:sz w:val="21"/>
        </w:rPr>
        <w:t xml:space="preserve"> : Comparer les résultats avant/après dilution avec des échantillons témoins (ex : IgA exogènes ajoutées) pour détecter une perte anormale de signal</w:t>
      </w:r>
      <w:bookmarkStart w:id="4" w:name="fnref1:2"/>
      <w:bookmarkEnd w:id="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5" w:name="fnref3:1"/>
      <w:bookmarkEnd w:id="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Effet prozone</w:t>
      </w:r>
      <w:r>
        <w:rPr>
          <w:rFonts w:eastAsia="inter" w:cs="inter" w:ascii="inter" w:hAnsi="inter"/>
          <w:color w:val="000000"/>
          <w:sz w:val="21"/>
        </w:rPr>
        <w:t xml:space="preserve"> : Éliminer ce phénomène (saturation antigène-anticorps) en testant des dilutions plus élevées. Une augmentation paradoxale des valeurs après dilution confirme l’effet prozone</w:t>
      </w:r>
      <w:bookmarkStart w:id="6" w:name="fnref1:3"/>
      <w:bookmarkEnd w:id="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7" w:name="fnref2:1"/>
      <w:bookmarkEnd w:id="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Précision analytique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CV (coefficient de variation)</w:t>
      </w:r>
      <w:r>
        <w:rPr>
          <w:rFonts w:eastAsia="inter" w:cs="inter" w:ascii="inter" w:hAnsi="inter"/>
          <w:color w:val="000000"/>
          <w:sz w:val="21"/>
        </w:rPr>
        <w:t xml:space="preserve"> : Maintenir un CV intra-série &lt;5 % pour les contrôles, conformément aux standards des tests ELISA (ex : CV de 2,9-3 % pour les contrôles Haut en IgA sériques)</w:t>
      </w:r>
      <w:bookmarkStart w:id="8" w:name="fnref1:4"/>
      <w:bookmarkEnd w:id="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Reproductibilité inter-essais</w:t>
      </w:r>
      <w:r>
        <w:rPr>
          <w:rFonts w:eastAsia="inter" w:cs="inter" w:ascii="inter" w:hAnsi="inter"/>
          <w:color w:val="000000"/>
          <w:sz w:val="21"/>
        </w:rPr>
        <w:t xml:space="preserve"> : Écarts &lt;10 % entre des dosages répétés du même échantillon</w:t>
      </w:r>
      <w:bookmarkStart w:id="9" w:name="fnref1:5"/>
      <w:bookmarkEnd w:id="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0" w:name="fnref4"/>
      <w:bookmarkEnd w:id="10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</w:t>
      </w:r>
      <w:r>
        <w:rPr>
          <w:rFonts w:eastAsia="inter" w:cs="inter" w:ascii="inter" w:hAnsi="inter"/>
          <w:b/>
          <w:color w:val="000000"/>
          <w:sz w:val="24"/>
        </w:rPr>
        <w:t xml:space="preserve">Spécificité de la méthode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Absence de réactivité croisée</w:t>
      </w:r>
      <w:r>
        <w:rPr>
          <w:rFonts w:eastAsia="inter" w:cs="inter" w:ascii="inter" w:hAnsi="inter"/>
          <w:color w:val="000000"/>
          <w:sz w:val="21"/>
        </w:rPr>
        <w:t xml:space="preserve"> : Vérifier que les diluants (ex : NaCl 9 g/L) n’interfèrent pas avec les anticorps anti-IgA, notamment en présence d’IgG ou d’IgM monoclonales</w:t>
      </w:r>
      <w:bookmarkStart w:id="11" w:name="fnref1:6"/>
      <w:bookmarkEnd w:id="1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2" w:name="fnref3:2"/>
      <w:bookmarkEnd w:id="1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Blancs réactifs</w:t>
      </w:r>
      <w:r>
        <w:rPr>
          <w:rFonts w:eastAsia="inter" w:cs="inter" w:ascii="inter" w:hAnsi="inter"/>
          <w:color w:val="000000"/>
          <w:sz w:val="21"/>
        </w:rPr>
        <w:t xml:space="preserve"> : Les valeurs du blanc réactif doivent être stables et proches de zéro après soustraction</w:t>
      </w:r>
      <w:bookmarkStart w:id="13" w:name="fnref1:7"/>
      <w:bookmarkEnd w:id="1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4" w:name="fnref4:1"/>
      <w:bookmarkEnd w:id="1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</w:t>
      </w:r>
      <w:r>
        <w:rPr>
          <w:rFonts w:eastAsia="inter" w:cs="inter" w:ascii="inter" w:hAnsi="inter"/>
          <w:b/>
          <w:color w:val="000000"/>
          <w:sz w:val="24"/>
        </w:rPr>
        <w:t xml:space="preserve">Performance des contrôles qualité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Contrôles internes</w:t>
      </w:r>
      <w:r>
        <w:rPr>
          <w:rFonts w:eastAsia="inter" w:cs="inter" w:ascii="inter" w:hAnsi="inter"/>
          <w:color w:val="000000"/>
          <w:sz w:val="21"/>
        </w:rPr>
        <w:t xml:space="preserve"> : Inclure des échantillons à concentrations connues (ex : contrôles Haut/Bas) pour valider la courbe de calibration</w:t>
      </w:r>
      <w:bookmarkStart w:id="15" w:name="fnref1:8"/>
      <w:bookmarkEnd w:id="1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6" w:name="fnref4:2"/>
      <w:bookmarkEnd w:id="1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Plages de référence</w:t>
      </w:r>
      <w:r>
        <w:rPr>
          <w:rFonts w:eastAsia="inter" w:cs="inter" w:ascii="inter" w:hAnsi="inter"/>
          <w:color w:val="000000"/>
          <w:sz w:val="21"/>
        </w:rPr>
        <w:t xml:space="preserve"> : Respecter le domaine de mesure du test (ex : 0,3-10 g/L pour les IgA sériques, extrapolable aux IgA fécales après adaptation)</w:t>
      </w:r>
      <w:bookmarkStart w:id="17" w:name="fnref1:9"/>
      <w:bookmarkEnd w:id="1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8" w:name="fnref2:2"/>
      <w:bookmarkEnd w:id="1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</w:t>
      </w:r>
      <w:r>
        <w:rPr>
          <w:rFonts w:eastAsia="inter" w:cs="inter" w:ascii="inter" w:hAnsi="inter"/>
          <w:b/>
          <w:color w:val="000000"/>
          <w:sz w:val="24"/>
        </w:rPr>
        <w:t xml:space="preserve">Corrélation clinique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Cohérence avec d’autres marqueurs</w:t>
      </w:r>
      <w:r>
        <w:rPr>
          <w:rFonts w:eastAsia="inter" w:cs="inter" w:ascii="inter" w:hAnsi="inter"/>
          <w:color w:val="000000"/>
          <w:sz w:val="21"/>
        </w:rPr>
        <w:t xml:space="preserve"> : Croiser les résultats avec la calprotectine fécale ou les IgA sériques pour exclure un déficit sélectif en IgA</w:t>
      </w:r>
      <w:bookmarkStart w:id="19" w:name="fnref5"/>
      <w:bookmarkEnd w:id="19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20" w:name="fnref6"/>
      <w:bookmarkEnd w:id="20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Contexte symptomatique</w:t>
      </w:r>
      <w:r>
        <w:rPr>
          <w:rFonts w:eastAsia="inter" w:cs="inter" w:ascii="inter" w:hAnsi="inter"/>
          <w:color w:val="000000"/>
          <w:sz w:val="21"/>
        </w:rPr>
        <w:t xml:space="preserve"> : Écarter les faux négatifs en cas de suspicion de maladie cœliaque ou d’inflammation intestinale active</w:t>
      </w:r>
      <w:bookmarkStart w:id="21" w:name="fnref5:1"/>
      <w:bookmarkEnd w:id="21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22" w:name="fnref3:3"/>
      <w:bookmarkEnd w:id="2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Tableau synthétique des critères clés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Critère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Méthode d'évaluation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Standard acceptable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Linéarité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Dilutions en série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R² &gt;0,98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Précision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CV intra-série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&lt;5 %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Spécificité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Tests de réactivité croisée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Aucune interférence détectée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Récupération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Ajout d’IgA exogènes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90-110 %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Prozone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Dilution 1:20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Augmentation cohérente des valeurs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Pour les IgA fécales, une </w:t>
      </w:r>
      <w:r>
        <w:rPr>
          <w:rFonts w:eastAsia="inter" w:cs="inter" w:ascii="inter" w:hAnsi="inter"/>
          <w:b/>
          <w:color w:val="000000"/>
        </w:rPr>
        <w:t xml:space="preserve">homogénéisation rigoureuse</w:t>
      </w:r>
      <w:r>
        <w:rPr>
          <w:rFonts w:eastAsia="inter" w:cs="inter" w:ascii="inter" w:hAnsi="inter"/>
          <w:color w:val="000000"/>
        </w:rPr>
        <w:t xml:space="preserve"> et l’utilisation de </w:t>
      </w:r>
      <w:r>
        <w:rPr>
          <w:rFonts w:eastAsia="inter" w:cs="inter" w:ascii="inter" w:hAnsi="inter"/>
          <w:b/>
          <w:color w:val="000000"/>
        </w:rPr>
        <w:t xml:space="preserve">tampons stabilisateurs</w:t>
      </w:r>
      <w:r>
        <w:rPr>
          <w:rFonts w:eastAsia="inter" w:cs="inter" w:ascii="inter" w:hAnsi="inter"/>
          <w:color w:val="000000"/>
        </w:rPr>
        <w:t xml:space="preserve"> (inhibiteurs de protéases) sont indispensables pour garantir des dilutions fiables</w:t>
      </w:r>
      <w:bookmarkStart w:id="23" w:name="fnref1:12"/>
      <w:bookmarkEnd w:id="23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24" w:name="fnref2:4"/>
      <w:bookmarkEnd w:id="24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5" w:name="fn1"/>
    <w:bookmarkEnd w:id="25"/>
    <w:p>
      <w:pPr>
        <w:numPr>
          <w:ilvl w:val="0"/>
          <w:numId w:val="8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https://www.menarinidiagnostics.fr/portals/17/pdf/34314 F IGA.pdf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2"/>
    <w:bookmarkEnd w:id="26"/>
    <w:p>
      <w:pPr>
        <w:numPr>
          <w:ilvl w:val="0"/>
          <w:numId w:val="8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https://www.menarinidiagnostics.fr/portals/17/pdf/41422_FR.pdf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3"/>
    <w:bookmarkEnd w:id="27"/>
    <w:p>
      <w:pPr>
        <w:numPr>
          <w:ilvl w:val="0"/>
          <w:numId w:val="8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https://lesbiologistesmedicaux.fr/images/cahiers/2003-Bioforma-28-Immunoglobulines monoclonales.pdf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4"/>
    <w:bookmarkEnd w:id="28"/>
    <w:p>
      <w:pPr>
        <w:numPr>
          <w:ilvl w:val="0"/>
          <w:numId w:val="8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https://www.zeusscientific.com/content/resources/%28SM%293Z15051%20ELISA%20L.%20pneumophila%20IgG-IgM-IgA%20French%20Package%20Insert.pdf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" w:name="fn5"/>
    <w:bookmarkEnd w:id="29"/>
    <w:p>
      <w:pPr>
        <w:numPr>
          <w:ilvl w:val="0"/>
          <w:numId w:val="8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https://pmc.ncbi.nlm.nih.gov/articles/PMC4721855/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" w:name="fn6"/>
    <w:bookmarkEnd w:id="30"/>
    <w:p>
      <w:pPr>
        <w:numPr>
          <w:ilvl w:val="0"/>
          <w:numId w:val="8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https://www.biron.com/fr/glossaire/iga/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fr-FR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fr-FR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4f91a1c3ec4792a6fe60ad6f32a322ca4fad6bb2.png" TargetMode="Internal"/><Relationship Id="rId6" Type="http://schemas.openxmlformats.org/officeDocument/2006/relationships/hyperlink" Target="https://www.menarinidiagnostics.fr/portals/17/pdf/34314%20F%20%20IGA.pdf" TargetMode="External"/><Relationship Id="rId7" Type="http://schemas.openxmlformats.org/officeDocument/2006/relationships/hyperlink" Target="https://www.menarinidiagnostics.fr/portals/17/pdf/41422_FR.pdf" TargetMode="External"/><Relationship Id="rId8" Type="http://schemas.openxmlformats.org/officeDocument/2006/relationships/hyperlink" Target="https://lesbiologistesmedicaux.fr/images/cahiers/2003-Bioforma-28-Immunoglobulines%20monoclonales.pdf" TargetMode="External"/><Relationship Id="rId9" Type="http://schemas.openxmlformats.org/officeDocument/2006/relationships/hyperlink" Target="https://www.zeusscientific.com/content/resources/%2528SM%25293Z15051%2520ELISA%2520L.%2520pneumophila%2520IgG-IgM-IgA%2520French%2520Package%2520Insert.pdf" TargetMode="External"/><Relationship Id="rId10" Type="http://schemas.openxmlformats.org/officeDocument/2006/relationships/hyperlink" Target="https://pmc.ncbi.nlm.nih.gov/articles/PMC4721855/" TargetMode="External"/><Relationship Id="rId11" Type="http://schemas.openxmlformats.org/officeDocument/2006/relationships/hyperlink" Target="https://www.biron.com/fr/glossaire/iga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2025-04-14T14:37:15.977Z</dcterms:created>
  <dcterms:modified xsi:type="dcterms:W3CDTF">2025-04-14T14:37:15.977Z</dcterms:modified>
</cp:coreProperties>
</file>