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svg" ContentType="image/svg+xml"/>
  <Default Extension="xml" ContentType="application/xml"/>
  <Default Extension="jpg" ContentType="application/octet-stream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m="http://schemas.openxmlformats.org/officeDocument/2006/math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 xmlns:a14="http://schemas.microsoft.com/office/drawing/2010/main" xmlns:asvg="http://schemas.microsoft.com/office/drawing/2016/SVG/main">
  <w:body>
    <w:p>
      <w:pPr>
        <w:spacing w:line="360" w:after="0" w:lineRule="auto"/>
      </w:pPr>
      <w:r>
        <w:rPr>
          <w:rFonts w:eastAsia="inter" w:cs="inter" w:ascii="inter" w:hAnsi="inter"/>
          <w:color w:val="000000"/>
        </w:rPr>
        <w:drawing>
          <wp:inline distB="0" distL="0" distR="0" distT="0">
            <wp:extent cx="1143000" cy="287909"/>
            <wp:effectExtent b="0" l="0" r="0" t="0"/>
            <wp:docPr id="1" name="image-07580b2d8586c1e5ba9ad7b48fe147f9f572afc6.png"/>
            <a:graphic>
              <a:graphicData uri="http://schemas.openxmlformats.org/drawingml/2006/picture">
                <pic:pic>
                  <pic:nvPicPr>
                    <pic:cNvPr id="1" name="image-07580b2d8586c1e5ba9ad7b48fe147f9f572afc6.png" descr=""/>
                    <pic:cNvPicPr/>
                  </pic:nvPicPr>
                  <pic:blipFill>
                    <a:blip r:embed="rId5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2879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270" w:before="157.5" w:after="157.5" w:lineRule="auto"/>
        <w:jc w:val="left"/>
      </w:pP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270" w:before="157.5" w:after="157.5" w:lineRule="auto"/>
        <w:jc w:val="left"/>
      </w:pPr>
      <w:r>
        <w:rPr>
          <w:rFonts w:eastAsia="inter" w:cs="inter" w:ascii="inter" w:hAnsi="inter"/>
          <w:b/>
          <w:color w:val="000000"/>
          <w:sz w:val="39"/>
        </w:rPr>
        <w:t xml:space="preserve">immunoglobulin a and woodmouse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D'après les résultats de recherche fournis, les valeurs d'</w:t>
      </w:r>
      <w:r>
        <w:rPr>
          <w:rFonts w:eastAsia="inter" w:cs="inter" w:ascii="inter" w:hAnsi="inter"/>
          <w:b/>
          <w:color w:val="000000"/>
        </w:rPr>
        <w:t xml:space="preserve">immunoglobuline A (IgA)</w:t>
      </w:r>
      <w:r>
        <w:rPr>
          <w:rFonts w:eastAsia="inter" w:cs="inter" w:ascii="inter" w:hAnsi="inter"/>
          <w:color w:val="000000"/>
        </w:rPr>
        <w:t xml:space="preserve"> chez les rongeurs, en particulier les souris de laboratoire, sont les suivantes :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Valeurs de référence pour les IgA sériques chez la souris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Plage normale</w:t>
      </w:r>
      <w:r>
        <w:rPr>
          <w:rFonts w:eastAsia="inter" w:cs="inter" w:ascii="inter" w:hAnsi="inter"/>
          <w:color w:val="000000"/>
          <w:sz w:val="21"/>
        </w:rPr>
        <w:t xml:space="preserve"> : </w:t>
      </w:r>
      <w:r>
        <w:rPr>
          <w:rFonts w:eastAsia="inter" w:cs="inter" w:ascii="inter" w:hAnsi="inter"/>
          <w:b/>
          <w:color w:val="000000"/>
          <w:sz w:val="21"/>
        </w:rPr>
        <w:t xml:space="preserve">1.0 – 3.2 mg/ml</w:t>
      </w:r>
      <w:r>
        <w:rPr>
          <w:rFonts w:eastAsia="inter" w:cs="inter" w:ascii="inter" w:hAnsi="inter"/>
          <w:color w:val="000000"/>
          <w:sz w:val="21"/>
        </w:rPr>
        <w:t xml:space="preserve"> (résultat 1).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Comparaison avec d'autres isotypes</w:t>
      </w:r>
      <w:r>
        <w:rPr>
          <w:rFonts w:eastAsia="inter" w:cs="inter" w:ascii="inter" w:hAnsi="inter"/>
          <w:color w:val="000000"/>
          <w:sz w:val="21"/>
        </w:rPr>
        <w:t xml:space="preserve"> :</w:t>
      </w:r>
    </w:p>
    <w:p>
      <w:pPr>
        <w:numPr>
          <w:ilvl w:val="1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IgM : 0.8 – 6.5 mg/ml</w:t>
      </w:r>
    </w:p>
    <w:p>
      <w:pPr>
        <w:numPr>
          <w:ilvl w:val="1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IgG : 2 – 5 mg/ml (total)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Cas particuliers étudiés</w:t>
      </w:r>
    </w:p>
    <w:p>
      <w:pPr>
        <w:numPr>
          <w:ilvl w:val="0"/>
          <w:numId w:val="2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Souris IgA-déficientes</w:t>
      </w:r>
      <w:r>
        <w:rPr>
          <w:rFonts w:eastAsia="inter" w:cs="inter" w:ascii="inter" w:hAnsi="inter"/>
          <w:color w:val="000000"/>
          <w:sz w:val="21"/>
        </w:rPr>
        <w:t xml:space="preserve"> (résultats 2 et 3) :</w:t>
      </w:r>
    </w:p>
    <w:p>
      <w:pPr>
        <w:numPr>
          <w:ilvl w:val="1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IgA indétectables</w:t>
      </w:r>
      <w:r>
        <w:rPr>
          <w:rFonts w:eastAsia="inter" w:cs="inter" w:ascii="inter" w:hAnsi="inter"/>
          <w:color w:val="000000"/>
          <w:sz w:val="21"/>
        </w:rPr>
        <w:t xml:space="preserve"> dans le sérum et les sécrétions muqueuses.</w:t>
      </w:r>
    </w:p>
    <w:p>
      <w:pPr>
        <w:numPr>
          <w:ilvl w:val="1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Compensation par d'autres isotypes</w:t>
      </w:r>
      <w:r>
        <w:rPr>
          <w:rFonts w:eastAsia="inter" w:cs="inter" w:ascii="inter" w:hAnsi="inter"/>
          <w:color w:val="000000"/>
          <w:sz w:val="21"/>
        </w:rPr>
        <w:t xml:space="preserve"> :</w:t>
      </w:r>
    </w:p>
    <w:p>
      <w:pPr>
        <w:numPr>
          <w:ilvl w:val="2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IgM sérique augmentée (≈ </w:t>
      </w:r>
      <w:r>
        <w:rPr>
          <w:rFonts w:eastAsia="inter" w:cs="inter" w:ascii="inter" w:hAnsi="inter"/>
          <w:b/>
          <w:color w:val="000000"/>
          <w:sz w:val="21"/>
        </w:rPr>
        <w:t xml:space="preserve">382 ± 35 μg/ml</w:t>
      </w:r>
      <w:r>
        <w:rPr>
          <w:rFonts w:eastAsia="inter" w:cs="inter" w:ascii="inter" w:hAnsi="inter"/>
          <w:color w:val="000000"/>
          <w:sz w:val="21"/>
        </w:rPr>
        <w:t xml:space="preserve"> vs 179 ± 27 μg/ml chez les souris normales).</w:t>
      </w:r>
    </w:p>
    <w:p>
      <w:pPr>
        <w:numPr>
          <w:ilvl w:val="2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IgG sérique élevée (≈ </w:t>
      </w:r>
      <w:r>
        <w:rPr>
          <w:rFonts w:eastAsia="inter" w:cs="inter" w:ascii="inter" w:hAnsi="inter"/>
          <w:b/>
          <w:color w:val="000000"/>
          <w:sz w:val="21"/>
        </w:rPr>
        <w:t xml:space="preserve">11 629 ± 1 908 μg/ml</w:t>
      </w:r>
      <w:r>
        <w:rPr>
          <w:rFonts w:eastAsia="inter" w:cs="inter" w:ascii="inter" w:hAnsi="inter"/>
          <w:color w:val="000000"/>
          <w:sz w:val="21"/>
        </w:rPr>
        <w:t xml:space="preserve"> vs 6 264 ± 842 μg/ml).</w:t>
      </w:r>
    </w:p>
    <w:p>
      <w:pPr>
        <w:numPr>
          <w:ilvl w:val="0"/>
          <w:numId w:val="2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Impact sur l'immunité muqueuse</w:t>
      </w:r>
      <w:r>
        <w:rPr>
          <w:rFonts w:eastAsia="inter" w:cs="inter" w:ascii="inter" w:hAnsi="inter"/>
          <w:color w:val="000000"/>
          <w:sz w:val="21"/>
        </w:rPr>
        <w:t xml:space="preserve"> :</w:t>
      </w:r>
    </w:p>
    <w:p>
      <w:pPr>
        <w:numPr>
          <w:ilvl w:val="1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Les souris IgA−/− montrent une </w:t>
      </w:r>
      <w:r>
        <w:rPr>
          <w:rFonts w:eastAsia="inter" w:cs="inter" w:ascii="inter" w:hAnsi="inter"/>
          <w:b/>
          <w:color w:val="000000"/>
          <w:sz w:val="21"/>
        </w:rPr>
        <w:t xml:space="preserve">réponse IgM accrue</w:t>
      </w:r>
      <w:r>
        <w:rPr>
          <w:rFonts w:eastAsia="inter" w:cs="inter" w:ascii="inter" w:hAnsi="inter"/>
          <w:color w:val="000000"/>
          <w:sz w:val="21"/>
        </w:rPr>
        <w:t xml:space="preserve"> après immunisation (ex : grippe, rotavirus), mais une protection réduite contre les pathogènes muqueux (ex : rotavirus) (résultats 3 et 5).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Variations selon les tissus</w:t>
      </w:r>
      <w:r>
        <w:rPr>
          <w:rFonts w:eastAsia="inter" w:cs="inter" w:ascii="inter" w:hAnsi="inter"/>
          <w:b/>
          <w:color w:val="000000"/>
          <w:sz w:val="24"/>
        </w:rPr>
        <w:t xml:space="preserve"> (résultat 2)</w:t>
      </w:r>
    </w:p>
    <w:tbl>
      <w:tblPr>
        <w:tblStyle w:val="TableGrid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type="dxa" w:w="80"/>
          <w:left w:type="dxa" w:w="160"/>
          <w:bottom w:type="dxa" w:w="80"/>
          <w:right w:type="dxa" w:w="160"/>
        </w:tblCellMar>
      </w:tblPr>
      <w:tblGrid>
        <w:gridCol w:w="2378"/>
        <w:gridCol w:w="2378"/>
        <w:gridCol w:w="2378"/>
        <w:gridCol w:w="2378"/>
      </w:tblGrid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Compartment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IgA (souris normales)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IgA (souris −/−)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Autres isotypes (souris −/−)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Sérum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1.0 – 3.2 mg/ml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Indétectable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IgM ×2, IgG ×1.8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Sécrétions intestinales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Non spécifié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Indétectable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IgM ×25, IgG ×3.5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Sécrétions pulmonaires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Non spécifié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Indétectable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IgG3 ↓ 70-80 %</w:t>
            </w:r>
          </w:p>
        </w:tc>
      </w:tr>
    </w:tbl>
    <w:p>
      <w:pPr>
        <w:spacing w:lineRule="auto"/>
      </w:pP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Facteurs influençant les IgA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Microbiote intestinal</w:t>
      </w:r>
      <w:r>
        <w:rPr>
          <w:rFonts w:eastAsia="inter" w:cs="inter" w:ascii="inter" w:hAnsi="inter"/>
          <w:color w:val="000000"/>
          <w:sz w:val="21"/>
        </w:rPr>
        <w:t xml:space="preserve"> : Certains symbiotes bactériens augmentent les IgA luminales (résultat 4).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Stimulation immunitaire</w:t>
      </w:r>
      <w:r>
        <w:rPr>
          <w:rFonts w:eastAsia="inter" w:cs="inter" w:ascii="inter" w:hAnsi="inter"/>
          <w:color w:val="000000"/>
          <w:sz w:val="21"/>
        </w:rPr>
        <w:t xml:space="preserve"> : Les IgA augmentent après infection (ex : rotavirus) ou vaccination muqueuse (résultat 3).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Limites des données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Les valeurs proviennent principalement de </w:t>
      </w:r>
      <w:r>
        <w:rPr>
          <w:rFonts w:eastAsia="inter" w:cs="inter" w:ascii="inter" w:hAnsi="inter"/>
          <w:b/>
          <w:color w:val="000000"/>
          <w:sz w:val="21"/>
        </w:rPr>
        <w:t xml:space="preserve">souris de laboratoire</w:t>
      </w:r>
      <w:r>
        <w:rPr>
          <w:rFonts w:eastAsia="inter" w:cs="inter" w:ascii="inter" w:hAnsi="inter"/>
          <w:color w:val="000000"/>
          <w:sz w:val="21"/>
        </w:rPr>
        <w:t xml:space="preserve"> (C57BL/6, 129).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Aucune donnée spécifique aux </w:t>
      </w:r>
      <w:r>
        <w:rPr>
          <w:rFonts w:eastAsia="inter" w:cs="inter" w:ascii="inter" w:hAnsi="inter"/>
          <w:b/>
          <w:color w:val="000000"/>
          <w:sz w:val="21"/>
        </w:rPr>
        <w:t xml:space="preserve">mulots sauvages</w:t>
      </w:r>
      <w:r>
        <w:rPr>
          <w:rFonts w:eastAsia="inter" w:cs="inter" w:ascii="inter" w:hAnsi="inter"/>
          <w:color w:val="000000"/>
          <w:sz w:val="21"/>
        </w:rPr>
        <w:t xml:space="preserve"> (genre </w:t>
      </w:r>
      <w:r>
        <w:rPr>
          <w:rFonts w:eastAsia="inter" w:cs="inter" w:ascii="inter" w:hAnsi="inter"/>
          <w:i/>
          <w:color w:val="000000"/>
          <w:sz w:val="21"/>
        </w:rPr>
        <w:t xml:space="preserve">Apodemus</w:t>
      </w:r>
      <w:r>
        <w:rPr>
          <w:rFonts w:eastAsia="inter" w:cs="inter" w:ascii="inter" w:hAnsi="inter"/>
          <w:color w:val="000000"/>
          <w:sz w:val="21"/>
        </w:rPr>
        <w:t xml:space="preserve">) n'est disponible dans les résultats fournis.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Pour des mesures précises chez des rongeurs non modèles, des tests ELISA spécifiques (ex : kit Chondrex, résultat 5) sont recommandés.</w:t>
      </w:r>
    </w:p>
    <w:p>
      <w:pPr>
        <w:spacing w:line="360" w:lineRule="auto"/>
        <w:jc w:val="center"/>
      </w:pPr>
      <w:r>
        <w:rPr>
          <w:rFonts w:eastAsia="inter" w:cs="inter" w:ascii="inter" w:hAnsi="inter"/>
          <w:color w:val="000000"/>
        </w:rPr>
        <w:t xml:space="preserve">⁂</w:t>
      </w:r>
    </w:p>
    <w:sectPr>
      <w:pgSz w:w="12240" w:h="15840" w:orient="portrait"/>
      <w:pgMar w:top="1365" w:right="1365" w:bottom="1365" w:left="1365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nter">
    <w:family w:val="auto"/>
    <w:pitch w:val="variable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980"/>
        </w:tabs>
        <w:ind w:left="1620" w:hanging="360"/>
      </w:pPr>
      <w:rPr>
        <w:rFonts w:ascii="Wingdings" w:hAnsi="Wingdings" w:hint="default"/>
      </w:rPr>
    </w:lvl>
  </w:abstractNum>
  <w:abstractNum w:abstractNumId="3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4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Georgia" w:eastAsiaTheme="minorHAnsi" w:hAnsiTheme="minorHAnsi" w:cstheme="minorBidi"/>
        <w:sz w:val="21"/>
        <w:szCs w:val="22"/>
        <w:lang w:val="fr-FR" w:eastAsia="en-US" w:bidi="ar-SA"/>
      </w:rPr>
    </w:rPrDefault>
    <w:pPrDefault>
      <w:pPr>
        <w:spacing w:after="120" w:line="240" w:lineRule="atLeast"/>
      </w:pPr>
    </w:pPrDefault>
  </w:docDefaults>
  <w:style w:type="paragraph" w:default="1" w:styleId="Normal">
    <w:name w:val="Normal"/>
    <w:next w:val="Normal"/>
    <w:pPr/>
    <w:rPr>
      <w:rFonts w:ascii="Georgia" w:eastAsiaTheme="minorHAnsi" w:hAnsiTheme="minorHAnsi" w:cstheme="minorBidi"/>
      <w:sz w:val="21"/>
      <w:szCs w:val="22"/>
      <w:lang w:val="fr-FR" w:eastAsia="en-US" w:bidi="ar-SA"/>
    </w:rPr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80" w:type="dxa"/>
        <w:left w:w="160" w:type="dxa"/>
        <w:bottom w:w="80" w:type="dxa"/>
        <w:right w:w="160" w:type="dxa"/>
      </w:tblCellMar>
    </w:tblPr>
  </w:style>
  <w:style w:type="table" w:styleId="TableGrid">
    <w:name w:val="Normal Grid"/>
    <w:basedOn w:val="TableNormal"/>
    <w:uiPriority w:val="39"/>
    <w:pPr>
      <w:spacing w:after="0" w:line="240" w:lineRule="auto"/>
    </w:pPr>
    <w:tblPr>
      <w:tblInd w:w="0" w:type="dxa"/>
      <w:tblCellMar>
        <w:top w:w="80" w:type="dxa"/>
        <w:left w:w="160" w:type="dxa"/>
        <w:bottom w:w="80" w:type="dxa"/>
        <w:right w:w="160" w:type="dxa"/>
      </w:tblCellMar>
    </w:tbl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-07580b2d8586c1e5ba9ad7b48fe147f9f572afc6.png" TargetMode="Interna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2025-03-26T22:17:30.289Z</dcterms:created>
  <dcterms:modified xsi:type="dcterms:W3CDTF">2025-03-26T22:17:30.289Z</dcterms:modified>
</cp:coreProperties>
</file>