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  <w:jc w:val="center"/>
        <w:rPr>
          <w:b/>
        </w:rPr>
      </w:pPr>
      <w:r w:rsidRPr="005961BD">
        <w:rPr>
          <w:b/>
        </w:rPr>
        <w:t xml:space="preserve">Анализ составленной модели </w:t>
      </w:r>
      <w:r w:rsidRPr="005961BD">
        <w:rPr>
          <w:b/>
        </w:rPr>
        <w:t>угрозы безопасности.</w:t>
      </w:r>
    </w:p>
    <w:p w:rsidR="007A2E43" w:rsidRPr="005961BD" w:rsidRDefault="007A2E43" w:rsidP="009915F2">
      <w:pPr>
        <w:pStyle w:val="a3"/>
        <w:shd w:val="clear" w:color="auto" w:fill="FFF7F4"/>
        <w:spacing w:before="0" w:beforeAutospacing="0" w:after="240" w:afterAutospacing="0"/>
      </w:pPr>
    </w:p>
    <w:p w:rsidR="009915F2" w:rsidRPr="005961BD" w:rsidRDefault="009915F2" w:rsidP="009915F2">
      <w:pPr>
        <w:pStyle w:val="a3"/>
        <w:shd w:val="clear" w:color="auto" w:fill="FFF7F4"/>
        <w:spacing w:before="0" w:beforeAutospacing="0" w:after="240" w:afterAutospacing="0"/>
      </w:pPr>
      <w:r w:rsidRPr="005961BD">
        <w:t xml:space="preserve">Основной угрозой являются </w:t>
      </w:r>
      <w:r w:rsidR="007A2E43" w:rsidRPr="005961BD">
        <w:t>внешние нарушители с низким потенциалом, а также средним потенциалом. К ним относятся бывшие работники (пользователи), конкурирующие организации, а также неустановленные внешние субъекты (физические лица).</w:t>
      </w:r>
    </w:p>
    <w:p w:rsidR="007A2E43" w:rsidRPr="005961BD" w:rsidRDefault="007A2E43" w:rsidP="009915F2">
      <w:pPr>
        <w:pStyle w:val="a3"/>
        <w:shd w:val="clear" w:color="auto" w:fill="FFF7F4"/>
        <w:spacing w:before="0" w:beforeAutospacing="0" w:after="240" w:afterAutospacing="0"/>
        <w:rPr>
          <w:u w:val="single"/>
        </w:rPr>
      </w:pPr>
      <w:r w:rsidRPr="005961BD">
        <w:rPr>
          <w:u w:val="single"/>
        </w:rPr>
        <w:t xml:space="preserve">Возможная мотивация </w:t>
      </w:r>
      <w:proofErr w:type="spellStart"/>
      <w:r w:rsidRPr="005961BD">
        <w:rPr>
          <w:u w:val="single"/>
        </w:rPr>
        <w:t>вышепересиленных</w:t>
      </w:r>
      <w:proofErr w:type="spellEnd"/>
      <w:r w:rsidRPr="005961BD">
        <w:rPr>
          <w:u w:val="single"/>
        </w:rPr>
        <w:t xml:space="preserve"> нарушителей следующая:</w:t>
      </w:r>
    </w:p>
    <w:p w:rsidR="007A2E43" w:rsidRPr="005961BD" w:rsidRDefault="007A2E43" w:rsidP="007A2E43">
      <w:pPr>
        <w:pStyle w:val="a3"/>
        <w:shd w:val="clear" w:color="auto" w:fill="FFF7F4"/>
        <w:spacing w:after="240"/>
      </w:pPr>
      <w:r w:rsidRPr="005961BD">
        <w:t xml:space="preserve">- </w:t>
      </w:r>
      <w:r w:rsidRPr="005961BD">
        <w:t>Идеологические или политические мотивы.</w:t>
      </w:r>
    </w:p>
    <w:p w:rsidR="007A2E43" w:rsidRPr="005961BD" w:rsidRDefault="007A2E43" w:rsidP="007A2E43">
      <w:pPr>
        <w:pStyle w:val="a3"/>
        <w:shd w:val="clear" w:color="auto" w:fill="FFF7F4"/>
        <w:spacing w:after="240"/>
      </w:pPr>
      <w:r w:rsidRPr="005961BD">
        <w:t>-</w:t>
      </w:r>
      <w:r w:rsidRPr="005961BD">
        <w:t>Причинение имущественного ущерба путем мошенничества или иным преступным путем.</w:t>
      </w:r>
    </w:p>
    <w:p w:rsidR="007A2E43" w:rsidRPr="005961BD" w:rsidRDefault="007A2E43" w:rsidP="007A2E43">
      <w:pPr>
        <w:pStyle w:val="a3"/>
        <w:shd w:val="clear" w:color="auto" w:fill="FFF7F4"/>
        <w:spacing w:after="240"/>
      </w:pPr>
      <w:r w:rsidRPr="005961BD">
        <w:t>-</w:t>
      </w:r>
      <w:r w:rsidRPr="005961BD">
        <w:t>Любопытство или желание самореализации (подтверждение статуса).</w:t>
      </w:r>
    </w:p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</w:pPr>
      <w:r w:rsidRPr="005961BD">
        <w:t>-</w:t>
      </w:r>
      <w:r w:rsidRPr="005961BD">
        <w:t>Выявление уязвимостей с целью их дальнейшей продажи и получения финансовой выгоды.</w:t>
      </w:r>
    </w:p>
    <w:p w:rsidR="007A2E43" w:rsidRPr="005961BD" w:rsidRDefault="007A2E43" w:rsidP="007A2E43">
      <w:pPr>
        <w:pStyle w:val="a3"/>
        <w:shd w:val="clear" w:color="auto" w:fill="FFF7F4"/>
        <w:spacing w:after="240"/>
      </w:pPr>
      <w:r w:rsidRPr="005961BD">
        <w:t xml:space="preserve">- </w:t>
      </w:r>
      <w:r w:rsidRPr="005961BD">
        <w:t>Причинение имущественного ущерба путем мошенничества или иным преступным путем.</w:t>
      </w:r>
    </w:p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</w:pPr>
      <w:r w:rsidRPr="005961BD">
        <w:t>-</w:t>
      </w:r>
      <w:r w:rsidRPr="005961BD">
        <w:t>Месть за ранее совершенные действия.</w:t>
      </w:r>
    </w:p>
    <w:p w:rsidR="007A2E43" w:rsidRPr="005961BD" w:rsidRDefault="007A2E43" w:rsidP="007A2E43">
      <w:pPr>
        <w:pStyle w:val="a3"/>
        <w:shd w:val="clear" w:color="auto" w:fill="FFF7F4"/>
        <w:spacing w:after="240"/>
      </w:pPr>
      <w:r w:rsidRPr="005961BD">
        <w:t xml:space="preserve">- </w:t>
      </w:r>
      <w:r w:rsidRPr="005961BD">
        <w:t>Получение конкурентных преимуществ.</w:t>
      </w:r>
    </w:p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</w:pPr>
      <w:r w:rsidRPr="005961BD">
        <w:t>-</w:t>
      </w:r>
      <w:r w:rsidRPr="005961BD">
        <w:t>Причинение имущественного ущерба путем обмана или злоупотребления доверием</w:t>
      </w:r>
    </w:p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</w:pPr>
      <w:r w:rsidRPr="005961BD">
        <w:t>Возможный класс СКЗИ: КС1. (для всех нарушителей)</w:t>
      </w:r>
    </w:p>
    <w:p w:rsidR="009915F2" w:rsidRPr="005961BD" w:rsidRDefault="007A2E43" w:rsidP="007A2E43">
      <w:pPr>
        <w:pStyle w:val="a3"/>
        <w:shd w:val="clear" w:color="auto" w:fill="FFF7F4"/>
        <w:spacing w:before="0" w:beforeAutospacing="0" w:after="240" w:afterAutospacing="0"/>
        <w:jc w:val="center"/>
        <w:rPr>
          <w:b/>
        </w:rPr>
      </w:pPr>
      <w:r w:rsidRPr="005961BD">
        <w:rPr>
          <w:b/>
        </w:rPr>
        <w:t>Уровень защищенности</w:t>
      </w:r>
    </w:p>
    <w:p w:rsidR="00ED7340" w:rsidRPr="005961BD" w:rsidRDefault="00ED7340" w:rsidP="00ED7340">
      <w:pPr>
        <w:pStyle w:val="a3"/>
        <w:shd w:val="clear" w:color="auto" w:fill="FFF7F4"/>
        <w:spacing w:before="0" w:beforeAutospacing="0" w:after="240" w:afterAutospacing="0"/>
      </w:pPr>
      <w:r w:rsidRPr="005961BD">
        <w:t>Уровень защищенности отображен в таблице, представленной ниже.</w:t>
      </w:r>
    </w:p>
    <w:p w:rsidR="007A2E43" w:rsidRPr="005961BD" w:rsidRDefault="00ED7340" w:rsidP="00ED7340">
      <w:pPr>
        <w:pStyle w:val="a3"/>
        <w:shd w:val="clear" w:color="auto" w:fill="FFF7F4"/>
        <w:spacing w:before="0" w:beforeAutospacing="0" w:after="240" w:afterAutospacing="0"/>
        <w:jc w:val="right"/>
      </w:pPr>
      <w:r w:rsidRPr="005961BD">
        <w:t>Таблица 1</w:t>
      </w:r>
    </w:p>
    <w:tbl>
      <w:tblPr>
        <w:tblW w:w="9309" w:type="dxa"/>
        <w:tblLook w:val="04A0" w:firstRow="1" w:lastRow="0" w:firstColumn="1" w:lastColumn="0" w:noHBand="0" w:noVBand="1"/>
      </w:tblPr>
      <w:tblGrid>
        <w:gridCol w:w="2117"/>
        <w:gridCol w:w="2621"/>
        <w:gridCol w:w="1796"/>
        <w:gridCol w:w="1182"/>
        <w:gridCol w:w="1593"/>
      </w:tblGrid>
      <w:tr w:rsidR="005961BD" w:rsidRPr="005961BD" w:rsidTr="00ED7340">
        <w:trPr>
          <w:trHeight w:val="300"/>
        </w:trPr>
        <w:tc>
          <w:tcPr>
            <w:tcW w:w="4559" w:type="dxa"/>
            <w:gridSpan w:val="2"/>
            <w:tcBorders>
              <w:top w:val="double" w:sz="6" w:space="0" w:color="4D5D2C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C2D69B"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Структурно-функциональные характеристики информационной системы, условия ее эксплуатации</w:t>
            </w:r>
          </w:p>
        </w:tc>
        <w:tc>
          <w:tcPr>
            <w:tcW w:w="4750" w:type="dxa"/>
            <w:gridSpan w:val="3"/>
            <w:tcBorders>
              <w:top w:val="double" w:sz="6" w:space="0" w:color="4D5D2C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C2D69B"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проектной защищенности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C2D69B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C2D69B"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C2D69B"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C2D69B"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C2D69B"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Низкий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структуре информационной системы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Локальная информационная система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используемым информационным технологиям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на основе виртуализации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используемым информационным технологиям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Системы, реализующие облачные вычисления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используемым информационным технологиям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с технологиями беспроводного доступа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архитектуре информационной системы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на основе тонкого клиента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архитектуре информационной системы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с удаленным доступом пользователей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архитектуре информационной системы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разных типов операционных систем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наличию (отсутствию) взаимосвязей с иными информационными системами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Взаимодействующая с системами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наличию (отсутствию) взаимосвязей (подключений) к сетям связи</w:t>
            </w: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общего пользования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Подключенная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размещению технических средств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Расположенные в пределах одной контролируемой зоны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режимам обработки информации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Многопользовательский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режимам разграничения прав доступа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разграничением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режимам разделения функций по управлению информационной системой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рабочих мест для администрирования в отдельный домен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подходам к сегментированию информационной системы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сегментирования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61BD" w:rsidRPr="005961BD" w:rsidTr="00ED7340">
        <w:trPr>
          <w:trHeight w:val="300"/>
        </w:trPr>
        <w:tc>
          <w:tcPr>
            <w:tcW w:w="2053" w:type="dxa"/>
            <w:tcBorders>
              <w:top w:val="nil"/>
              <w:left w:val="double" w:sz="6" w:space="0" w:color="4D5D2C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center"/>
            <w:hideMark/>
          </w:tcPr>
          <w:p w:rsidR="007A2E43" w:rsidRPr="007A2E43" w:rsidRDefault="007A2E43" w:rsidP="007A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14.29%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4D5D2C"/>
              <w:right w:val="single" w:sz="4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28.57%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4D5D2C"/>
              <w:right w:val="double" w:sz="6" w:space="0" w:color="4D5D2C"/>
            </w:tcBorders>
            <w:shd w:val="clear" w:color="FFFFFF" w:fill="EAF1DD"/>
            <w:noWrap/>
            <w:vAlign w:val="bottom"/>
            <w:hideMark/>
          </w:tcPr>
          <w:p w:rsidR="007A2E43" w:rsidRPr="007A2E43" w:rsidRDefault="007A2E43" w:rsidP="007A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57.14%</w:t>
            </w:r>
          </w:p>
        </w:tc>
      </w:tr>
    </w:tbl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  <w:jc w:val="center"/>
        <w:rPr>
          <w:b/>
        </w:rPr>
      </w:pPr>
    </w:p>
    <w:p w:rsidR="009915F2" w:rsidRPr="005961BD" w:rsidRDefault="007A2E43" w:rsidP="007A2E43">
      <w:pPr>
        <w:pStyle w:val="a3"/>
        <w:shd w:val="clear" w:color="auto" w:fill="FFF7F4"/>
        <w:spacing w:before="0" w:beforeAutospacing="0" w:after="240" w:afterAutospacing="0"/>
        <w:jc w:val="center"/>
        <w:rPr>
          <w:b/>
        </w:rPr>
      </w:pPr>
      <w:r w:rsidRPr="005961BD">
        <w:rPr>
          <w:b/>
        </w:rPr>
        <w:t>Д</w:t>
      </w:r>
      <w:r w:rsidR="009915F2" w:rsidRPr="005961BD">
        <w:rPr>
          <w:b/>
        </w:rPr>
        <w:t xml:space="preserve">ействия </w:t>
      </w:r>
      <w:r w:rsidRPr="005961BD">
        <w:rPr>
          <w:b/>
        </w:rPr>
        <w:t>по повышению безопасности системы</w:t>
      </w:r>
    </w:p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  <w:jc w:val="center"/>
        <w:rPr>
          <w:b/>
        </w:rPr>
      </w:pPr>
    </w:p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</w:pPr>
      <w:r w:rsidRPr="005961BD">
        <w:t>Действия по повышению безопасности системы</w:t>
      </w:r>
      <w:r w:rsidR="00ED7340" w:rsidRPr="005961BD">
        <w:t xml:space="preserve"> можно предпринять нижеследующие.</w:t>
      </w:r>
    </w:p>
    <w:p w:rsidR="00ED7340" w:rsidRPr="005961BD" w:rsidRDefault="00ED7340" w:rsidP="007A2E43">
      <w:pPr>
        <w:pStyle w:val="a3"/>
        <w:shd w:val="clear" w:color="auto" w:fill="FFF7F4"/>
        <w:spacing w:before="0" w:beforeAutospacing="0" w:after="240" w:afterAutospacing="0"/>
      </w:pPr>
      <w:r w:rsidRPr="005961BD">
        <w:t>Обеспечить:</w:t>
      </w:r>
      <w:bookmarkStart w:id="0" w:name="_GoBack"/>
      <w:bookmarkEnd w:id="0"/>
    </w:p>
    <w:p w:rsidR="00ED7340" w:rsidRPr="00ED7340" w:rsidRDefault="00ED7340" w:rsidP="00ED7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систему обеспечения информационной безопасности (под ней мы подразумеваем комплекс мероприятий (внутренние правила работы с данными, регламент передачи сведений, доступ к ним и т. д.) и технических средств (использование программ и приборов для сохранения конфиденциальности данных));</w:t>
      </w:r>
    </w:p>
    <w:p w:rsidR="00ED7340" w:rsidRPr="00ED7340" w:rsidRDefault="00ED7340" w:rsidP="00ED7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(создание новых), эксплуатацию и усовершенствование уже имеющихся средств защиты информации;</w:t>
      </w:r>
    </w:p>
    <w:p w:rsidR="00ED7340" w:rsidRPr="00ED7340" w:rsidRDefault="00ED7340" w:rsidP="00ED7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перманентный контроль над действенностью принимаемых мер в области обеспечения информационной безопасности.</w:t>
      </w:r>
    </w:p>
    <w:p w:rsidR="00ED7340" w:rsidRPr="00ED7340" w:rsidRDefault="00ED7340" w:rsidP="00ED734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 пункт особенно важен. Без методики оценки очень трудно определить эффективность ИБ. Если эффективность падает, необходимо срочно вносить коррективы (для этого и нужна перманентность контроля).</w:t>
      </w:r>
    </w:p>
    <w:p w:rsidR="00ED7340" w:rsidRPr="005961BD" w:rsidRDefault="00ED7340" w:rsidP="007A2E43">
      <w:pPr>
        <w:pStyle w:val="a3"/>
        <w:shd w:val="clear" w:color="auto" w:fill="FFF7F4"/>
        <w:spacing w:before="0" w:beforeAutospacing="0" w:after="240" w:afterAutospacing="0"/>
      </w:pPr>
    </w:p>
    <w:p w:rsidR="00ED7340" w:rsidRPr="005961BD" w:rsidRDefault="00ED7340" w:rsidP="00ED7340">
      <w:pPr>
        <w:pStyle w:val="a3"/>
        <w:shd w:val="clear" w:color="auto" w:fill="FFFFFF"/>
        <w:spacing w:before="0" w:beforeAutospacing="0" w:after="120" w:afterAutospacing="0"/>
      </w:pPr>
      <w:r w:rsidRPr="005961BD">
        <w:t>Также можно ввести организационный метод обеспече</w:t>
      </w:r>
      <w:r w:rsidR="005961BD" w:rsidRPr="005961BD">
        <w:t xml:space="preserve">ния информационной безопасности, который </w:t>
      </w:r>
      <w:r w:rsidRPr="005961BD">
        <w:t>имеет следующие составляющие:</w:t>
      </w:r>
    </w:p>
    <w:p w:rsidR="00ED7340" w:rsidRPr="00ED7340" w:rsidRDefault="00ED7340" w:rsidP="00ED7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режима охраны информации;</w:t>
      </w:r>
    </w:p>
    <w:p w:rsidR="00ED7340" w:rsidRPr="00ED7340" w:rsidRDefault="00ED7340" w:rsidP="00ED7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правил взаимоотношений между сотрудниками;</w:t>
      </w:r>
    </w:p>
    <w:p w:rsidR="00ED7340" w:rsidRPr="00ED7340" w:rsidRDefault="00ED7340" w:rsidP="00ED7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регламентация работы с документами;</w:t>
      </w:r>
    </w:p>
    <w:p w:rsidR="00ED7340" w:rsidRPr="00ED7340" w:rsidRDefault="00ED7340" w:rsidP="00ED7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использования технических средств в рамках существующего правового поля РФ;</w:t>
      </w:r>
    </w:p>
    <w:p w:rsidR="00ED7340" w:rsidRPr="00ED7340" w:rsidRDefault="00ED7340" w:rsidP="00ED7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аналитическая работа</w:t>
      </w:r>
      <w:proofErr w:type="gramEnd"/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оценке угроз информационной безопасности.</w:t>
      </w:r>
    </w:p>
    <w:p w:rsidR="00ED7340" w:rsidRPr="005961BD" w:rsidRDefault="00ED7340" w:rsidP="007A2E43">
      <w:pPr>
        <w:pStyle w:val="a3"/>
        <w:shd w:val="clear" w:color="auto" w:fill="FFF7F4"/>
        <w:spacing w:before="0" w:beforeAutospacing="0" w:after="240" w:afterAutospacing="0"/>
      </w:pPr>
    </w:p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</w:pPr>
    </w:p>
    <w:p w:rsidR="007A2E43" w:rsidRPr="005961BD" w:rsidRDefault="007A2E43" w:rsidP="007A2E43">
      <w:pPr>
        <w:pStyle w:val="a3"/>
        <w:shd w:val="clear" w:color="auto" w:fill="FFF7F4"/>
        <w:spacing w:before="0" w:beforeAutospacing="0" w:after="240" w:afterAutospacing="0"/>
      </w:pPr>
    </w:p>
    <w:p w:rsidR="0019153B" w:rsidRPr="005961BD" w:rsidRDefault="005961BD">
      <w:pPr>
        <w:rPr>
          <w:rFonts w:ascii="Times New Roman" w:hAnsi="Times New Roman" w:cs="Times New Roman"/>
          <w:sz w:val="24"/>
          <w:szCs w:val="24"/>
        </w:rPr>
      </w:pPr>
    </w:p>
    <w:sectPr w:rsidR="0019153B" w:rsidRPr="0059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70918"/>
    <w:multiLevelType w:val="multilevel"/>
    <w:tmpl w:val="15A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D5528"/>
    <w:multiLevelType w:val="multilevel"/>
    <w:tmpl w:val="446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F2"/>
    <w:rsid w:val="005961BD"/>
    <w:rsid w:val="007A2E43"/>
    <w:rsid w:val="009915F2"/>
    <w:rsid w:val="00A40907"/>
    <w:rsid w:val="00B57A31"/>
    <w:rsid w:val="00E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36D7"/>
  <w15:chartTrackingRefBased/>
  <w15:docId w15:val="{C4AEF803-7066-4B98-9B7D-2D8F5EA2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B4D1-320C-49EC-91D2-E7C111A4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Студент02</dc:creator>
  <cp:keywords/>
  <dc:description/>
  <cp:lastModifiedBy>Студент02</cp:lastModifiedBy>
  <cp:revision>3</cp:revision>
  <dcterms:created xsi:type="dcterms:W3CDTF">2019-05-31T17:17:00Z</dcterms:created>
  <dcterms:modified xsi:type="dcterms:W3CDTF">2019-05-31T17:35:00Z</dcterms:modified>
</cp:coreProperties>
</file>