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251" w:rsidRPr="0083798E" w:rsidRDefault="00EB3251" w:rsidP="00EB3251">
      <w:pPr>
        <w:spacing w:before="100" w:beforeAutospacing="1" w:after="100" w:afterAutospacing="1" w:line="240" w:lineRule="auto"/>
        <w:jc w:val="center"/>
        <w:outlineLvl w:val="0"/>
        <w:rPr>
          <w:rFonts w:ascii="Times New Roman" w:eastAsia="Times New Roman" w:hAnsi="Times New Roman" w:cs="Times New Roman"/>
          <w:b/>
          <w:bCs/>
          <w:i/>
          <w:kern w:val="36"/>
          <w:sz w:val="44"/>
          <w:szCs w:val="44"/>
          <w:lang w:eastAsia="fr-FR"/>
        </w:rPr>
      </w:pPr>
      <w:r w:rsidRPr="0083798E">
        <w:rPr>
          <w:rFonts w:ascii="Times New Roman" w:eastAsia="Times New Roman" w:hAnsi="Times New Roman" w:cs="Times New Roman"/>
          <w:b/>
          <w:bCs/>
          <w:i/>
          <w:kern w:val="36"/>
          <w:sz w:val="44"/>
          <w:szCs w:val="44"/>
          <w:lang w:eastAsia="fr-FR"/>
        </w:rPr>
        <w:t>Financement des filières fossiles et divulgation volonta</w:t>
      </w:r>
      <w:r w:rsidR="002076E4" w:rsidRPr="0083798E">
        <w:rPr>
          <w:rFonts w:ascii="Times New Roman" w:eastAsia="Times New Roman" w:hAnsi="Times New Roman" w:cs="Times New Roman"/>
          <w:b/>
          <w:bCs/>
          <w:i/>
          <w:kern w:val="36"/>
          <w:sz w:val="44"/>
          <w:szCs w:val="44"/>
          <w:lang w:eastAsia="fr-FR"/>
        </w:rPr>
        <w:t xml:space="preserve">ire d’information sociétale et environnementale : Test de l’hypothèse de légitimité </w:t>
      </w:r>
      <w:r w:rsidRPr="0083798E">
        <w:rPr>
          <w:rFonts w:ascii="Times New Roman" w:eastAsia="Times New Roman" w:hAnsi="Times New Roman" w:cs="Times New Roman"/>
          <w:b/>
          <w:bCs/>
          <w:i/>
          <w:kern w:val="36"/>
          <w:sz w:val="44"/>
          <w:szCs w:val="44"/>
          <w:lang w:eastAsia="fr-FR"/>
        </w:rPr>
        <w:t>dans le secteur bancaire</w:t>
      </w:r>
      <w:r w:rsidR="0083798E" w:rsidRPr="0083798E">
        <w:rPr>
          <w:rFonts w:ascii="Times New Roman" w:eastAsia="Times New Roman" w:hAnsi="Times New Roman" w:cs="Times New Roman"/>
          <w:b/>
          <w:bCs/>
          <w:i/>
          <w:kern w:val="36"/>
          <w:sz w:val="44"/>
          <w:szCs w:val="44"/>
          <w:lang w:eastAsia="fr-FR"/>
        </w:rPr>
        <w:t>.</w:t>
      </w:r>
    </w:p>
    <w:p w:rsidR="00EB3251" w:rsidRPr="001845C0" w:rsidRDefault="00EB3251" w:rsidP="00EB3251">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3798E" w:rsidRPr="0083798E" w:rsidTr="0083798E">
        <w:tc>
          <w:tcPr>
            <w:tcW w:w="4531" w:type="dxa"/>
          </w:tcPr>
          <w:p w:rsidR="0083798E" w:rsidRPr="0083798E" w:rsidRDefault="0083798E" w:rsidP="00EB3251">
            <w:pPr>
              <w:spacing w:before="100" w:beforeAutospacing="1" w:after="100" w:afterAutospacing="1"/>
              <w:jc w:val="both"/>
              <w:outlineLvl w:val="0"/>
              <w:rPr>
                <w:rFonts w:ascii="Times New Roman" w:eastAsia="Times New Roman" w:hAnsi="Times New Roman" w:cs="Times New Roman"/>
                <w:b/>
                <w:bCs/>
                <w:kern w:val="36"/>
                <w:sz w:val="20"/>
                <w:szCs w:val="20"/>
                <w:lang w:eastAsia="fr-FR"/>
              </w:rPr>
            </w:pPr>
            <w:r w:rsidRPr="0083798E">
              <w:rPr>
                <w:rFonts w:ascii="Times New Roman" w:eastAsia="Times New Roman" w:hAnsi="Times New Roman" w:cs="Times New Roman"/>
                <w:b/>
                <w:bCs/>
                <w:kern w:val="36"/>
                <w:sz w:val="20"/>
                <w:szCs w:val="20"/>
                <w:lang w:eastAsia="fr-FR"/>
              </w:rPr>
              <w:t>Résumé :</w:t>
            </w:r>
          </w:p>
        </w:tc>
        <w:tc>
          <w:tcPr>
            <w:tcW w:w="4531" w:type="dxa"/>
          </w:tcPr>
          <w:p w:rsidR="0083798E" w:rsidRPr="0083798E" w:rsidRDefault="0083798E" w:rsidP="00EB3251">
            <w:pPr>
              <w:spacing w:before="100" w:beforeAutospacing="1" w:after="100" w:afterAutospacing="1"/>
              <w:jc w:val="both"/>
              <w:outlineLvl w:val="0"/>
              <w:rPr>
                <w:rFonts w:ascii="Times New Roman" w:eastAsia="Times New Roman" w:hAnsi="Times New Roman" w:cs="Times New Roman"/>
                <w:b/>
                <w:bCs/>
                <w:kern w:val="36"/>
                <w:sz w:val="20"/>
                <w:szCs w:val="20"/>
                <w:lang w:eastAsia="fr-FR"/>
              </w:rPr>
            </w:pPr>
            <w:r w:rsidRPr="0083798E">
              <w:rPr>
                <w:rFonts w:ascii="Times New Roman" w:eastAsia="Times New Roman" w:hAnsi="Times New Roman" w:cs="Times New Roman"/>
                <w:b/>
                <w:bCs/>
                <w:kern w:val="36"/>
                <w:sz w:val="20"/>
                <w:szCs w:val="20"/>
                <w:lang w:eastAsia="fr-FR"/>
              </w:rPr>
              <w:t>Abstract :</w:t>
            </w:r>
          </w:p>
        </w:tc>
      </w:tr>
      <w:tr w:rsidR="0083798E" w:rsidTr="0083798E">
        <w:tc>
          <w:tcPr>
            <w:tcW w:w="4531" w:type="dxa"/>
          </w:tcPr>
          <w:p w:rsidR="0083798E" w:rsidRDefault="0083798E" w:rsidP="0083798E">
            <w:pPr>
              <w:spacing w:before="100" w:beforeAutospacing="1" w:after="100" w:afterAutospacing="1"/>
              <w:jc w:val="both"/>
              <w:outlineLvl w:val="0"/>
              <w:rPr>
                <w:rFonts w:ascii="Times New Roman" w:eastAsia="Times New Roman" w:hAnsi="Times New Roman" w:cs="Times New Roman"/>
                <w:bCs/>
                <w:kern w:val="36"/>
                <w:sz w:val="20"/>
                <w:szCs w:val="20"/>
                <w:lang w:eastAsia="fr-FR"/>
              </w:rPr>
            </w:pPr>
            <w:r w:rsidRPr="0083798E">
              <w:rPr>
                <w:rFonts w:ascii="Times New Roman" w:eastAsia="Times New Roman" w:hAnsi="Times New Roman" w:cs="Times New Roman"/>
                <w:bCs/>
                <w:kern w:val="36"/>
                <w:sz w:val="20"/>
                <w:szCs w:val="20"/>
                <w:lang w:eastAsia="fr-FR"/>
              </w:rPr>
              <w:t>Les déterminants de la divulgation</w:t>
            </w:r>
            <w:r w:rsidR="0081174E">
              <w:rPr>
                <w:rFonts w:ascii="Times New Roman" w:eastAsia="Times New Roman" w:hAnsi="Times New Roman" w:cs="Times New Roman"/>
                <w:bCs/>
                <w:kern w:val="36"/>
                <w:sz w:val="20"/>
                <w:szCs w:val="20"/>
                <w:lang w:eastAsia="fr-FR"/>
              </w:rPr>
              <w:t xml:space="preserve"> volontaire d’information (DVI)</w:t>
            </w:r>
            <w:r w:rsidRPr="0083798E">
              <w:rPr>
                <w:rFonts w:ascii="Times New Roman" w:eastAsia="Times New Roman" w:hAnsi="Times New Roman" w:cs="Times New Roman"/>
                <w:bCs/>
                <w:kern w:val="36"/>
                <w:sz w:val="20"/>
                <w:szCs w:val="20"/>
                <w:lang w:eastAsia="fr-FR"/>
              </w:rPr>
              <w:t xml:space="preserve"> sociétale </w:t>
            </w:r>
            <w:r w:rsidR="0081174E">
              <w:rPr>
                <w:rFonts w:ascii="Times New Roman" w:eastAsia="Times New Roman" w:hAnsi="Times New Roman" w:cs="Times New Roman"/>
                <w:bCs/>
                <w:kern w:val="36"/>
                <w:sz w:val="20"/>
                <w:szCs w:val="20"/>
                <w:lang w:eastAsia="fr-FR"/>
              </w:rPr>
              <w:t xml:space="preserve">et environnementale </w:t>
            </w:r>
            <w:r w:rsidRPr="0083798E">
              <w:rPr>
                <w:rFonts w:ascii="Times New Roman" w:eastAsia="Times New Roman" w:hAnsi="Times New Roman" w:cs="Times New Roman"/>
                <w:bCs/>
                <w:kern w:val="36"/>
                <w:sz w:val="20"/>
                <w:szCs w:val="20"/>
                <w:lang w:eastAsia="fr-FR"/>
              </w:rPr>
              <w:t>sont très peu étudiés dans le contexte particulier du se</w:t>
            </w:r>
            <w:r w:rsidR="00B05B6C">
              <w:rPr>
                <w:rFonts w:ascii="Times New Roman" w:eastAsia="Times New Roman" w:hAnsi="Times New Roman" w:cs="Times New Roman"/>
                <w:bCs/>
                <w:kern w:val="36"/>
                <w:sz w:val="20"/>
                <w:szCs w:val="20"/>
                <w:lang w:eastAsia="fr-FR"/>
              </w:rPr>
              <w:t>cteur bancaire, notamment</w:t>
            </w:r>
            <w:r w:rsidRPr="0083798E">
              <w:rPr>
                <w:rFonts w:ascii="Times New Roman" w:eastAsia="Times New Roman" w:hAnsi="Times New Roman" w:cs="Times New Roman"/>
                <w:bCs/>
                <w:kern w:val="36"/>
                <w:sz w:val="20"/>
                <w:szCs w:val="20"/>
                <w:lang w:eastAsia="fr-FR"/>
              </w:rPr>
              <w:t xml:space="preserve"> l’impact de la performance environnementale. Cet article analyse cette relation via les financements alloués aux filières fossiles par un échantillon de 35 banques internationales (période 2016-2019) sur des indicateurs de DVI sociétale et environnementale. Les résultats corroborent l’hypothèse de lég</w:t>
            </w:r>
            <w:r w:rsidR="00B05B6C">
              <w:rPr>
                <w:rFonts w:ascii="Times New Roman" w:eastAsia="Times New Roman" w:hAnsi="Times New Roman" w:cs="Times New Roman"/>
                <w:bCs/>
                <w:kern w:val="36"/>
                <w:sz w:val="20"/>
                <w:szCs w:val="20"/>
                <w:lang w:eastAsia="fr-FR"/>
              </w:rPr>
              <w:t>itimité : les banques renforcent</w:t>
            </w:r>
            <w:r w:rsidRPr="0083798E">
              <w:rPr>
                <w:rFonts w:ascii="Times New Roman" w:eastAsia="Times New Roman" w:hAnsi="Times New Roman" w:cs="Times New Roman"/>
                <w:bCs/>
                <w:kern w:val="36"/>
                <w:sz w:val="20"/>
                <w:szCs w:val="20"/>
                <w:lang w:eastAsia="fr-FR"/>
              </w:rPr>
              <w:t xml:space="preserve"> leur communication extra-financière lorsqu’elles augmentent </w:t>
            </w:r>
            <w:r w:rsidR="00B05B6C">
              <w:rPr>
                <w:rFonts w:ascii="Times New Roman" w:eastAsia="Times New Roman" w:hAnsi="Times New Roman" w:cs="Times New Roman"/>
                <w:bCs/>
                <w:kern w:val="36"/>
                <w:sz w:val="20"/>
                <w:szCs w:val="20"/>
                <w:lang w:eastAsia="fr-FR"/>
              </w:rPr>
              <w:t>leurs financements aux</w:t>
            </w:r>
            <w:r w:rsidRPr="0083798E">
              <w:rPr>
                <w:rFonts w:ascii="Times New Roman" w:eastAsia="Times New Roman" w:hAnsi="Times New Roman" w:cs="Times New Roman"/>
                <w:bCs/>
                <w:kern w:val="36"/>
                <w:sz w:val="20"/>
                <w:szCs w:val="20"/>
                <w:lang w:eastAsia="fr-FR"/>
              </w:rPr>
              <w:t xml:space="preserve"> secteur</w:t>
            </w:r>
            <w:r w:rsidR="00B05B6C">
              <w:rPr>
                <w:rFonts w:ascii="Times New Roman" w:eastAsia="Times New Roman" w:hAnsi="Times New Roman" w:cs="Times New Roman"/>
                <w:bCs/>
                <w:kern w:val="36"/>
                <w:sz w:val="20"/>
                <w:szCs w:val="20"/>
                <w:lang w:eastAsia="fr-FR"/>
              </w:rPr>
              <w:t>s</w:t>
            </w:r>
            <w:r w:rsidRPr="0083798E">
              <w:rPr>
                <w:rFonts w:ascii="Times New Roman" w:eastAsia="Times New Roman" w:hAnsi="Times New Roman" w:cs="Times New Roman"/>
                <w:bCs/>
                <w:kern w:val="36"/>
                <w:sz w:val="20"/>
                <w:szCs w:val="20"/>
                <w:lang w:eastAsia="fr-FR"/>
              </w:rPr>
              <w:t xml:space="preserve"> des énergies fossiles. Le lien performance-DVI est influencée par l’origine géographique des banques et la politique environnementale des Etats.</w:t>
            </w:r>
          </w:p>
          <w:p w:rsidR="0083798E" w:rsidRPr="0083798E" w:rsidRDefault="0083798E" w:rsidP="0083798E">
            <w:pPr>
              <w:spacing w:before="100" w:beforeAutospacing="1" w:after="100" w:afterAutospacing="1"/>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0"/>
                <w:szCs w:val="20"/>
                <w:lang w:eastAsia="fr-FR"/>
              </w:rPr>
              <w:t xml:space="preserve">Mots clés : </w:t>
            </w:r>
            <w:r w:rsidRPr="0083798E">
              <w:rPr>
                <w:rFonts w:ascii="Times New Roman" w:eastAsia="Times New Roman" w:hAnsi="Times New Roman" w:cs="Times New Roman"/>
                <w:bCs/>
                <w:kern w:val="36"/>
                <w:sz w:val="20"/>
                <w:szCs w:val="20"/>
                <w:lang w:eastAsia="fr-FR"/>
              </w:rPr>
              <w:t>Divulgation volontaire d’information sociétale et environnementale, performance environnementale, secteur bancaire, théorie de la légitimité.</w:t>
            </w:r>
          </w:p>
          <w:p w:rsidR="0083798E" w:rsidRPr="0083798E" w:rsidRDefault="0083798E" w:rsidP="00EB3251">
            <w:pPr>
              <w:spacing w:before="100" w:beforeAutospacing="1" w:after="100" w:afterAutospacing="1"/>
              <w:jc w:val="both"/>
              <w:outlineLvl w:val="0"/>
              <w:rPr>
                <w:rFonts w:ascii="Times New Roman" w:eastAsia="Times New Roman" w:hAnsi="Times New Roman" w:cs="Times New Roman"/>
                <w:bCs/>
                <w:kern w:val="36"/>
                <w:sz w:val="20"/>
                <w:szCs w:val="20"/>
                <w:lang w:eastAsia="fr-FR"/>
              </w:rPr>
            </w:pPr>
          </w:p>
        </w:tc>
        <w:tc>
          <w:tcPr>
            <w:tcW w:w="4531" w:type="dxa"/>
          </w:tcPr>
          <w:p w:rsidR="0083798E" w:rsidRDefault="0083798E" w:rsidP="0083798E">
            <w:pPr>
              <w:spacing w:before="100" w:beforeAutospacing="1" w:after="100" w:afterAutospacing="1"/>
              <w:jc w:val="both"/>
              <w:outlineLvl w:val="0"/>
              <w:rPr>
                <w:rFonts w:ascii="Times New Roman" w:eastAsia="Times New Roman" w:hAnsi="Times New Roman" w:cs="Times New Roman"/>
                <w:bCs/>
                <w:kern w:val="36"/>
                <w:sz w:val="20"/>
                <w:szCs w:val="20"/>
                <w:lang w:eastAsia="fr-FR"/>
              </w:rPr>
            </w:pPr>
            <w:r w:rsidRPr="0083798E">
              <w:rPr>
                <w:rFonts w:ascii="Times New Roman" w:eastAsia="Times New Roman" w:hAnsi="Times New Roman" w:cs="Times New Roman"/>
                <w:bCs/>
                <w:kern w:val="36"/>
                <w:sz w:val="20"/>
                <w:szCs w:val="20"/>
                <w:lang w:eastAsia="fr-FR"/>
              </w:rPr>
              <w:t xml:space="preserve">The </w:t>
            </w:r>
            <w:proofErr w:type="spellStart"/>
            <w:r w:rsidRPr="0083798E">
              <w:rPr>
                <w:rFonts w:ascii="Times New Roman" w:eastAsia="Times New Roman" w:hAnsi="Times New Roman" w:cs="Times New Roman"/>
                <w:bCs/>
                <w:kern w:val="36"/>
                <w:sz w:val="20"/>
                <w:szCs w:val="20"/>
                <w:lang w:eastAsia="fr-FR"/>
              </w:rPr>
              <w:t>determinant</w:t>
            </w:r>
            <w:r w:rsidR="0081174E">
              <w:rPr>
                <w:rFonts w:ascii="Times New Roman" w:eastAsia="Times New Roman" w:hAnsi="Times New Roman" w:cs="Times New Roman"/>
                <w:bCs/>
                <w:kern w:val="36"/>
                <w:sz w:val="20"/>
                <w:szCs w:val="20"/>
                <w:lang w:eastAsia="fr-FR"/>
              </w:rPr>
              <w:t>s</w:t>
            </w:r>
            <w:proofErr w:type="spellEnd"/>
            <w:r w:rsidR="0081174E">
              <w:rPr>
                <w:rFonts w:ascii="Times New Roman" w:eastAsia="Times New Roman" w:hAnsi="Times New Roman" w:cs="Times New Roman"/>
                <w:bCs/>
                <w:kern w:val="36"/>
                <w:sz w:val="20"/>
                <w:szCs w:val="20"/>
                <w:lang w:eastAsia="fr-FR"/>
              </w:rPr>
              <w:t xml:space="preserve"> of </w:t>
            </w:r>
            <w:proofErr w:type="spellStart"/>
            <w:r w:rsidR="0081174E">
              <w:rPr>
                <w:rFonts w:ascii="Times New Roman" w:eastAsia="Times New Roman" w:hAnsi="Times New Roman" w:cs="Times New Roman"/>
                <w:bCs/>
                <w:kern w:val="36"/>
                <w:sz w:val="20"/>
                <w:szCs w:val="20"/>
                <w:lang w:eastAsia="fr-FR"/>
              </w:rPr>
              <w:t>voluntary</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societal</w:t>
            </w:r>
            <w:proofErr w:type="spellEnd"/>
            <w:r w:rsidRPr="0083798E">
              <w:rPr>
                <w:rFonts w:ascii="Times New Roman" w:eastAsia="Times New Roman" w:hAnsi="Times New Roman" w:cs="Times New Roman"/>
                <w:bCs/>
                <w:kern w:val="36"/>
                <w:sz w:val="20"/>
                <w:szCs w:val="20"/>
                <w:lang w:eastAsia="fr-FR"/>
              </w:rPr>
              <w:t xml:space="preserve"> </w:t>
            </w:r>
            <w:r w:rsidR="0081174E">
              <w:rPr>
                <w:rFonts w:ascii="Times New Roman" w:eastAsia="Times New Roman" w:hAnsi="Times New Roman" w:cs="Times New Roman"/>
                <w:bCs/>
                <w:kern w:val="36"/>
                <w:sz w:val="20"/>
                <w:szCs w:val="20"/>
                <w:lang w:eastAsia="fr-FR"/>
              </w:rPr>
              <w:t xml:space="preserve">and </w:t>
            </w:r>
            <w:proofErr w:type="spellStart"/>
            <w:r w:rsidR="0081174E">
              <w:rPr>
                <w:rFonts w:ascii="Times New Roman" w:eastAsia="Times New Roman" w:hAnsi="Times New Roman" w:cs="Times New Roman"/>
                <w:bCs/>
                <w:kern w:val="36"/>
                <w:sz w:val="20"/>
                <w:szCs w:val="20"/>
                <w:lang w:eastAsia="fr-FR"/>
              </w:rPr>
              <w:t>environmental</w:t>
            </w:r>
            <w:proofErr w:type="spellEnd"/>
            <w:r w:rsidR="0081174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disclosure</w:t>
            </w:r>
            <w:proofErr w:type="spellEnd"/>
            <w:r w:rsidRPr="0083798E">
              <w:rPr>
                <w:rFonts w:ascii="Times New Roman" w:eastAsia="Times New Roman" w:hAnsi="Times New Roman" w:cs="Times New Roman"/>
                <w:bCs/>
                <w:kern w:val="36"/>
                <w:sz w:val="20"/>
                <w:szCs w:val="20"/>
                <w:lang w:eastAsia="fr-FR"/>
              </w:rPr>
              <w:t xml:space="preserve"> (V</w:t>
            </w:r>
            <w:r w:rsidR="0081174E">
              <w:rPr>
                <w:rFonts w:ascii="Times New Roman" w:eastAsia="Times New Roman" w:hAnsi="Times New Roman" w:cs="Times New Roman"/>
                <w:bCs/>
                <w:kern w:val="36"/>
                <w:sz w:val="20"/>
                <w:szCs w:val="20"/>
                <w:lang w:eastAsia="fr-FR"/>
              </w:rPr>
              <w:t>SE</w:t>
            </w:r>
            <w:r w:rsidRPr="0083798E">
              <w:rPr>
                <w:rFonts w:ascii="Times New Roman" w:eastAsia="Times New Roman" w:hAnsi="Times New Roman" w:cs="Times New Roman"/>
                <w:bCs/>
                <w:kern w:val="36"/>
                <w:sz w:val="20"/>
                <w:szCs w:val="20"/>
                <w:lang w:eastAsia="fr-FR"/>
              </w:rPr>
              <w:t xml:space="preserve">D) have been </w:t>
            </w:r>
            <w:proofErr w:type="spellStart"/>
            <w:r w:rsidRPr="0083798E">
              <w:rPr>
                <w:rFonts w:ascii="Times New Roman" w:eastAsia="Times New Roman" w:hAnsi="Times New Roman" w:cs="Times New Roman"/>
                <w:bCs/>
                <w:kern w:val="36"/>
                <w:sz w:val="20"/>
                <w:szCs w:val="20"/>
                <w:lang w:eastAsia="fr-FR"/>
              </w:rPr>
              <w:t>little</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studied</w:t>
            </w:r>
            <w:proofErr w:type="spellEnd"/>
            <w:r w:rsidRPr="0083798E">
              <w:rPr>
                <w:rFonts w:ascii="Times New Roman" w:eastAsia="Times New Roman" w:hAnsi="Times New Roman" w:cs="Times New Roman"/>
                <w:bCs/>
                <w:kern w:val="36"/>
                <w:sz w:val="20"/>
                <w:szCs w:val="20"/>
                <w:lang w:eastAsia="fr-FR"/>
              </w:rPr>
              <w:t xml:space="preserve"> in the </w:t>
            </w:r>
            <w:proofErr w:type="spellStart"/>
            <w:r w:rsidRPr="0083798E">
              <w:rPr>
                <w:rFonts w:ascii="Times New Roman" w:eastAsia="Times New Roman" w:hAnsi="Times New Roman" w:cs="Times New Roman"/>
                <w:bCs/>
                <w:kern w:val="36"/>
                <w:sz w:val="20"/>
                <w:szCs w:val="20"/>
                <w:lang w:eastAsia="fr-FR"/>
              </w:rPr>
              <w:t>specific</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context</w:t>
            </w:r>
            <w:proofErr w:type="spellEnd"/>
            <w:r w:rsidRPr="0083798E">
              <w:rPr>
                <w:rFonts w:ascii="Times New Roman" w:eastAsia="Times New Roman" w:hAnsi="Times New Roman" w:cs="Times New Roman"/>
                <w:bCs/>
                <w:kern w:val="36"/>
                <w:sz w:val="20"/>
                <w:szCs w:val="20"/>
                <w:lang w:eastAsia="fr-FR"/>
              </w:rPr>
              <w:t xml:space="preserve"> of the </w:t>
            </w:r>
            <w:proofErr w:type="spellStart"/>
            <w:r w:rsidRPr="0083798E">
              <w:rPr>
                <w:rFonts w:ascii="Times New Roman" w:eastAsia="Times New Roman" w:hAnsi="Times New Roman" w:cs="Times New Roman"/>
                <w:bCs/>
                <w:kern w:val="36"/>
                <w:sz w:val="20"/>
                <w:szCs w:val="20"/>
                <w:lang w:eastAsia="fr-FR"/>
              </w:rPr>
              <w:t>banking</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sector</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particularly</w:t>
            </w:r>
            <w:proofErr w:type="spellEnd"/>
            <w:r w:rsidRPr="0083798E">
              <w:rPr>
                <w:rFonts w:ascii="Times New Roman" w:eastAsia="Times New Roman" w:hAnsi="Times New Roman" w:cs="Times New Roman"/>
                <w:bCs/>
                <w:kern w:val="36"/>
                <w:sz w:val="20"/>
                <w:szCs w:val="20"/>
                <w:lang w:eastAsia="fr-FR"/>
              </w:rPr>
              <w:t xml:space="preserve"> the impact of </w:t>
            </w:r>
            <w:proofErr w:type="spellStart"/>
            <w:r w:rsidRPr="0083798E">
              <w:rPr>
                <w:rFonts w:ascii="Times New Roman" w:eastAsia="Times New Roman" w:hAnsi="Times New Roman" w:cs="Times New Roman"/>
                <w:bCs/>
                <w:kern w:val="36"/>
                <w:sz w:val="20"/>
                <w:szCs w:val="20"/>
                <w:lang w:eastAsia="fr-FR"/>
              </w:rPr>
              <w:t>environmental</w:t>
            </w:r>
            <w:proofErr w:type="spellEnd"/>
            <w:r w:rsidRPr="0083798E">
              <w:rPr>
                <w:rFonts w:ascii="Times New Roman" w:eastAsia="Times New Roman" w:hAnsi="Times New Roman" w:cs="Times New Roman"/>
                <w:bCs/>
                <w:kern w:val="36"/>
                <w:sz w:val="20"/>
                <w:szCs w:val="20"/>
                <w:lang w:eastAsia="fr-FR"/>
              </w:rPr>
              <w:t xml:space="preserve"> performance. This </w:t>
            </w:r>
            <w:proofErr w:type="spellStart"/>
            <w:r w:rsidRPr="0083798E">
              <w:rPr>
                <w:rFonts w:ascii="Times New Roman" w:eastAsia="Times New Roman" w:hAnsi="Times New Roman" w:cs="Times New Roman"/>
                <w:bCs/>
                <w:kern w:val="36"/>
                <w:sz w:val="20"/>
                <w:szCs w:val="20"/>
                <w:lang w:eastAsia="fr-FR"/>
              </w:rPr>
              <w:t>paper</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analyzes</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this</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relationship</w:t>
            </w:r>
            <w:proofErr w:type="spellEnd"/>
            <w:r w:rsidRPr="0083798E">
              <w:rPr>
                <w:rFonts w:ascii="Times New Roman" w:eastAsia="Times New Roman" w:hAnsi="Times New Roman" w:cs="Times New Roman"/>
                <w:bCs/>
                <w:kern w:val="36"/>
                <w:sz w:val="20"/>
                <w:szCs w:val="20"/>
                <w:lang w:eastAsia="fr-FR"/>
              </w:rPr>
              <w:t xml:space="preserve"> via </w:t>
            </w:r>
            <w:proofErr w:type="spellStart"/>
            <w:r w:rsidRPr="0083798E">
              <w:rPr>
                <w:rFonts w:ascii="Times New Roman" w:eastAsia="Times New Roman" w:hAnsi="Times New Roman" w:cs="Times New Roman"/>
                <w:bCs/>
                <w:kern w:val="36"/>
                <w:sz w:val="20"/>
                <w:szCs w:val="20"/>
                <w:lang w:eastAsia="fr-FR"/>
              </w:rPr>
              <w:t>financing</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allocated</w:t>
            </w:r>
            <w:proofErr w:type="spellEnd"/>
            <w:r w:rsidRPr="0083798E">
              <w:rPr>
                <w:rFonts w:ascii="Times New Roman" w:eastAsia="Times New Roman" w:hAnsi="Times New Roman" w:cs="Times New Roman"/>
                <w:bCs/>
                <w:kern w:val="36"/>
                <w:sz w:val="20"/>
                <w:szCs w:val="20"/>
                <w:lang w:eastAsia="fr-FR"/>
              </w:rPr>
              <w:t xml:space="preserve"> to </w:t>
            </w:r>
            <w:proofErr w:type="spellStart"/>
            <w:r w:rsidRPr="0083798E">
              <w:rPr>
                <w:rFonts w:ascii="Times New Roman" w:eastAsia="Times New Roman" w:hAnsi="Times New Roman" w:cs="Times New Roman"/>
                <w:bCs/>
                <w:kern w:val="36"/>
                <w:sz w:val="20"/>
                <w:szCs w:val="20"/>
                <w:lang w:eastAsia="fr-FR"/>
              </w:rPr>
              <w:t>fossil</w:t>
            </w:r>
            <w:proofErr w:type="spellEnd"/>
            <w:r w:rsidRPr="0083798E">
              <w:rPr>
                <w:rFonts w:ascii="Times New Roman" w:eastAsia="Times New Roman" w:hAnsi="Times New Roman" w:cs="Times New Roman"/>
                <w:bCs/>
                <w:kern w:val="36"/>
                <w:sz w:val="20"/>
                <w:szCs w:val="20"/>
                <w:lang w:eastAsia="fr-FR"/>
              </w:rPr>
              <w:t xml:space="preserve"> fuels </w:t>
            </w:r>
            <w:proofErr w:type="spellStart"/>
            <w:r w:rsidR="00501914">
              <w:rPr>
                <w:rFonts w:ascii="Times New Roman" w:eastAsia="Times New Roman" w:hAnsi="Times New Roman" w:cs="Times New Roman"/>
                <w:bCs/>
                <w:kern w:val="36"/>
                <w:sz w:val="20"/>
                <w:szCs w:val="20"/>
                <w:lang w:eastAsia="fr-FR"/>
              </w:rPr>
              <w:t>firms</w:t>
            </w:r>
            <w:proofErr w:type="spellEnd"/>
            <w:r w:rsidR="00501914">
              <w:rPr>
                <w:rFonts w:ascii="Times New Roman" w:eastAsia="Times New Roman" w:hAnsi="Times New Roman" w:cs="Times New Roman"/>
                <w:bCs/>
                <w:kern w:val="36"/>
                <w:sz w:val="20"/>
                <w:szCs w:val="20"/>
                <w:lang w:eastAsia="fr-FR"/>
              </w:rPr>
              <w:t xml:space="preserve"> </w:t>
            </w:r>
            <w:r w:rsidRPr="0083798E">
              <w:rPr>
                <w:rFonts w:ascii="Times New Roman" w:eastAsia="Times New Roman" w:hAnsi="Times New Roman" w:cs="Times New Roman"/>
                <w:bCs/>
                <w:kern w:val="36"/>
                <w:sz w:val="20"/>
                <w:szCs w:val="20"/>
                <w:lang w:eastAsia="fr-FR"/>
              </w:rPr>
              <w:t xml:space="preserve">by a </w:t>
            </w:r>
            <w:proofErr w:type="spellStart"/>
            <w:r w:rsidRPr="0083798E">
              <w:rPr>
                <w:rFonts w:ascii="Times New Roman" w:eastAsia="Times New Roman" w:hAnsi="Times New Roman" w:cs="Times New Roman"/>
                <w:bCs/>
                <w:kern w:val="36"/>
                <w:sz w:val="20"/>
                <w:szCs w:val="20"/>
                <w:lang w:eastAsia="fr-FR"/>
              </w:rPr>
              <w:t>sample</w:t>
            </w:r>
            <w:proofErr w:type="spellEnd"/>
            <w:r w:rsidRPr="0083798E">
              <w:rPr>
                <w:rFonts w:ascii="Times New Roman" w:eastAsia="Times New Roman" w:hAnsi="Times New Roman" w:cs="Times New Roman"/>
                <w:bCs/>
                <w:kern w:val="36"/>
                <w:sz w:val="20"/>
                <w:szCs w:val="20"/>
                <w:lang w:eastAsia="fr-FR"/>
              </w:rPr>
              <w:t xml:space="preserve"> of 35 international </w:t>
            </w:r>
            <w:proofErr w:type="spellStart"/>
            <w:r w:rsidRPr="0083798E">
              <w:rPr>
                <w:rFonts w:ascii="Times New Roman" w:eastAsia="Times New Roman" w:hAnsi="Times New Roman" w:cs="Times New Roman"/>
                <w:bCs/>
                <w:kern w:val="36"/>
                <w:sz w:val="20"/>
                <w:szCs w:val="20"/>
                <w:lang w:eastAsia="fr-FR"/>
              </w:rPr>
              <w:t>banks</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period</w:t>
            </w:r>
            <w:proofErr w:type="spellEnd"/>
            <w:r w:rsidRPr="0083798E">
              <w:rPr>
                <w:rFonts w:ascii="Times New Roman" w:eastAsia="Times New Roman" w:hAnsi="Times New Roman" w:cs="Times New Roman"/>
                <w:bCs/>
                <w:kern w:val="36"/>
                <w:sz w:val="20"/>
                <w:szCs w:val="20"/>
                <w:lang w:eastAsia="fr-FR"/>
              </w:rPr>
              <w:t xml:space="preserve"> 2016-2019) </w:t>
            </w:r>
            <w:r w:rsidR="0081174E">
              <w:rPr>
                <w:rFonts w:ascii="Times New Roman" w:eastAsia="Times New Roman" w:hAnsi="Times New Roman" w:cs="Times New Roman"/>
                <w:bCs/>
                <w:kern w:val="36"/>
                <w:sz w:val="20"/>
                <w:szCs w:val="20"/>
                <w:lang w:eastAsia="fr-FR"/>
              </w:rPr>
              <w:t>on VSED</w:t>
            </w:r>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indicators</w:t>
            </w:r>
            <w:proofErr w:type="spellEnd"/>
            <w:r w:rsidRPr="0083798E">
              <w:rPr>
                <w:rFonts w:ascii="Times New Roman" w:eastAsia="Times New Roman" w:hAnsi="Times New Roman" w:cs="Times New Roman"/>
                <w:bCs/>
                <w:kern w:val="36"/>
                <w:sz w:val="20"/>
                <w:szCs w:val="20"/>
                <w:lang w:eastAsia="fr-FR"/>
              </w:rPr>
              <w:t xml:space="preserve">. The </w:t>
            </w:r>
            <w:proofErr w:type="spellStart"/>
            <w:r w:rsidRPr="0083798E">
              <w:rPr>
                <w:rFonts w:ascii="Times New Roman" w:eastAsia="Times New Roman" w:hAnsi="Times New Roman" w:cs="Times New Roman"/>
                <w:bCs/>
                <w:kern w:val="36"/>
                <w:sz w:val="20"/>
                <w:szCs w:val="20"/>
                <w:lang w:eastAsia="fr-FR"/>
              </w:rPr>
              <w:t>results</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corroborate</w:t>
            </w:r>
            <w:proofErr w:type="spellEnd"/>
            <w:r w:rsidRPr="0083798E">
              <w:rPr>
                <w:rFonts w:ascii="Times New Roman" w:eastAsia="Times New Roman" w:hAnsi="Times New Roman" w:cs="Times New Roman"/>
                <w:bCs/>
                <w:kern w:val="36"/>
                <w:sz w:val="20"/>
                <w:szCs w:val="20"/>
                <w:lang w:eastAsia="fr-FR"/>
              </w:rPr>
              <w:t xml:space="preserve"> the </w:t>
            </w:r>
            <w:proofErr w:type="spellStart"/>
            <w:r w:rsidRPr="0083798E">
              <w:rPr>
                <w:rFonts w:ascii="Times New Roman" w:eastAsia="Times New Roman" w:hAnsi="Times New Roman" w:cs="Times New Roman"/>
                <w:bCs/>
                <w:kern w:val="36"/>
                <w:sz w:val="20"/>
                <w:szCs w:val="20"/>
                <w:lang w:eastAsia="fr-FR"/>
              </w:rPr>
              <w:t>legitimacy</w:t>
            </w:r>
            <w:proofErr w:type="spellEnd"/>
            <w:r w:rsidRPr="0083798E">
              <w:rPr>
                <w:rFonts w:ascii="Times New Roman" w:eastAsia="Times New Roman" w:hAnsi="Times New Roman" w:cs="Times New Roman"/>
                <w:bCs/>
                <w:kern w:val="36"/>
                <w:sz w:val="20"/>
                <w:szCs w:val="20"/>
                <w:lang w:eastAsia="fr-FR"/>
              </w:rPr>
              <w:t xml:space="preserve"> </w:t>
            </w:r>
            <w:proofErr w:type="spellStart"/>
            <w:proofErr w:type="gramStart"/>
            <w:r w:rsidRPr="0083798E">
              <w:rPr>
                <w:rFonts w:ascii="Times New Roman" w:eastAsia="Times New Roman" w:hAnsi="Times New Roman" w:cs="Times New Roman"/>
                <w:bCs/>
                <w:kern w:val="36"/>
                <w:sz w:val="20"/>
                <w:szCs w:val="20"/>
                <w:lang w:eastAsia="fr-FR"/>
              </w:rPr>
              <w:t>hypothesis</w:t>
            </w:r>
            <w:proofErr w:type="spellEnd"/>
            <w:r w:rsidRPr="0083798E">
              <w:rPr>
                <w:rFonts w:ascii="Times New Roman" w:eastAsia="Times New Roman" w:hAnsi="Times New Roman" w:cs="Times New Roman"/>
                <w:bCs/>
                <w:kern w:val="36"/>
                <w:sz w:val="20"/>
                <w:szCs w:val="20"/>
                <w:lang w:eastAsia="fr-FR"/>
              </w:rPr>
              <w:t>:</w:t>
            </w:r>
            <w:proofErr w:type="gram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banks</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optimize</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their</w:t>
            </w:r>
            <w:proofErr w:type="spellEnd"/>
            <w:r w:rsidRPr="0083798E">
              <w:rPr>
                <w:rFonts w:ascii="Times New Roman" w:eastAsia="Times New Roman" w:hAnsi="Times New Roman" w:cs="Times New Roman"/>
                <w:bCs/>
                <w:kern w:val="36"/>
                <w:sz w:val="20"/>
                <w:szCs w:val="20"/>
                <w:lang w:eastAsia="fr-FR"/>
              </w:rPr>
              <w:t xml:space="preserve"> extra-</w:t>
            </w:r>
            <w:proofErr w:type="spellStart"/>
            <w:r w:rsidRPr="0083798E">
              <w:rPr>
                <w:rFonts w:ascii="Times New Roman" w:eastAsia="Times New Roman" w:hAnsi="Times New Roman" w:cs="Times New Roman"/>
                <w:bCs/>
                <w:kern w:val="36"/>
                <w:sz w:val="20"/>
                <w:szCs w:val="20"/>
                <w:lang w:eastAsia="fr-FR"/>
              </w:rPr>
              <w:t>financial</w:t>
            </w:r>
            <w:proofErr w:type="spellEnd"/>
            <w:r w:rsidRPr="0083798E">
              <w:rPr>
                <w:rFonts w:ascii="Times New Roman" w:eastAsia="Times New Roman" w:hAnsi="Times New Roman" w:cs="Times New Roman"/>
                <w:bCs/>
                <w:kern w:val="36"/>
                <w:sz w:val="20"/>
                <w:szCs w:val="20"/>
                <w:lang w:eastAsia="fr-FR"/>
              </w:rPr>
              <w:t xml:space="preserve"> communication </w:t>
            </w:r>
            <w:proofErr w:type="spellStart"/>
            <w:r w:rsidRPr="0083798E">
              <w:rPr>
                <w:rFonts w:ascii="Times New Roman" w:eastAsia="Times New Roman" w:hAnsi="Times New Roman" w:cs="Times New Roman"/>
                <w:bCs/>
                <w:kern w:val="36"/>
                <w:sz w:val="20"/>
                <w:szCs w:val="20"/>
                <w:lang w:eastAsia="fr-FR"/>
              </w:rPr>
              <w:t>when</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they</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increase</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their</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financing</w:t>
            </w:r>
            <w:proofErr w:type="spellEnd"/>
            <w:r w:rsidRPr="0083798E">
              <w:rPr>
                <w:rFonts w:ascii="Times New Roman" w:eastAsia="Times New Roman" w:hAnsi="Times New Roman" w:cs="Times New Roman"/>
                <w:bCs/>
                <w:kern w:val="36"/>
                <w:sz w:val="20"/>
                <w:szCs w:val="20"/>
                <w:lang w:eastAsia="fr-FR"/>
              </w:rPr>
              <w:t xml:space="preserve"> of the </w:t>
            </w:r>
            <w:proofErr w:type="spellStart"/>
            <w:r w:rsidRPr="0083798E">
              <w:rPr>
                <w:rFonts w:ascii="Times New Roman" w:eastAsia="Times New Roman" w:hAnsi="Times New Roman" w:cs="Times New Roman"/>
                <w:bCs/>
                <w:kern w:val="36"/>
                <w:sz w:val="20"/>
                <w:szCs w:val="20"/>
                <w:lang w:eastAsia="fr-FR"/>
              </w:rPr>
              <w:t>fossil</w:t>
            </w:r>
            <w:proofErr w:type="spellEnd"/>
            <w:r w:rsidRPr="0083798E">
              <w:rPr>
                <w:rFonts w:ascii="Times New Roman" w:eastAsia="Times New Roman" w:hAnsi="Times New Roman" w:cs="Times New Roman"/>
                <w:bCs/>
                <w:kern w:val="36"/>
                <w:sz w:val="20"/>
                <w:szCs w:val="20"/>
                <w:lang w:eastAsia="fr-FR"/>
              </w:rPr>
              <w:t xml:space="preserve"> fuel </w:t>
            </w:r>
            <w:proofErr w:type="spellStart"/>
            <w:r w:rsidRPr="0083798E">
              <w:rPr>
                <w:rFonts w:ascii="Times New Roman" w:eastAsia="Times New Roman" w:hAnsi="Times New Roman" w:cs="Times New Roman"/>
                <w:bCs/>
                <w:kern w:val="36"/>
                <w:sz w:val="20"/>
                <w:szCs w:val="20"/>
                <w:lang w:eastAsia="fr-FR"/>
              </w:rPr>
              <w:t>sector</w:t>
            </w:r>
            <w:proofErr w:type="spellEnd"/>
            <w:r w:rsidRPr="0083798E">
              <w:rPr>
                <w:rFonts w:ascii="Times New Roman" w:eastAsia="Times New Roman" w:hAnsi="Times New Roman" w:cs="Times New Roman"/>
                <w:bCs/>
                <w:kern w:val="36"/>
                <w:sz w:val="20"/>
                <w:szCs w:val="20"/>
                <w:lang w:eastAsia="fr-FR"/>
              </w:rPr>
              <w:t xml:space="preserve">. The </w:t>
            </w:r>
            <w:proofErr w:type="spellStart"/>
            <w:r w:rsidRPr="0083798E">
              <w:rPr>
                <w:rFonts w:ascii="Times New Roman" w:eastAsia="Times New Roman" w:hAnsi="Times New Roman" w:cs="Times New Roman"/>
                <w:bCs/>
                <w:kern w:val="36"/>
                <w:sz w:val="20"/>
                <w:szCs w:val="20"/>
                <w:lang w:eastAsia="fr-FR"/>
              </w:rPr>
              <w:t>link</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between</w:t>
            </w:r>
            <w:proofErr w:type="spellEnd"/>
            <w:r w:rsidRPr="0083798E">
              <w:rPr>
                <w:rFonts w:ascii="Times New Roman" w:eastAsia="Times New Roman" w:hAnsi="Times New Roman" w:cs="Times New Roman"/>
                <w:bCs/>
                <w:kern w:val="36"/>
                <w:sz w:val="20"/>
                <w:szCs w:val="20"/>
                <w:lang w:eastAsia="fr-FR"/>
              </w:rPr>
              <w:t xml:space="preserve"> performance and V</w:t>
            </w:r>
            <w:r w:rsidR="0081174E">
              <w:rPr>
                <w:rFonts w:ascii="Times New Roman" w:eastAsia="Times New Roman" w:hAnsi="Times New Roman" w:cs="Times New Roman"/>
                <w:bCs/>
                <w:kern w:val="36"/>
                <w:sz w:val="20"/>
                <w:szCs w:val="20"/>
                <w:lang w:eastAsia="fr-FR"/>
              </w:rPr>
              <w:t>SE</w:t>
            </w:r>
            <w:r w:rsidRPr="0083798E">
              <w:rPr>
                <w:rFonts w:ascii="Times New Roman" w:eastAsia="Times New Roman" w:hAnsi="Times New Roman" w:cs="Times New Roman"/>
                <w:bCs/>
                <w:kern w:val="36"/>
                <w:sz w:val="20"/>
                <w:szCs w:val="20"/>
                <w:lang w:eastAsia="fr-FR"/>
              </w:rPr>
              <w:t xml:space="preserve">D </w:t>
            </w:r>
            <w:proofErr w:type="spellStart"/>
            <w:r w:rsidRPr="0083798E">
              <w:rPr>
                <w:rFonts w:ascii="Times New Roman" w:eastAsia="Times New Roman" w:hAnsi="Times New Roman" w:cs="Times New Roman"/>
                <w:bCs/>
                <w:kern w:val="36"/>
                <w:sz w:val="20"/>
                <w:szCs w:val="20"/>
                <w:lang w:eastAsia="fr-FR"/>
              </w:rPr>
              <w:t>is</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influenced</w:t>
            </w:r>
            <w:proofErr w:type="spellEnd"/>
            <w:r w:rsidRPr="0083798E">
              <w:rPr>
                <w:rFonts w:ascii="Times New Roman" w:eastAsia="Times New Roman" w:hAnsi="Times New Roman" w:cs="Times New Roman"/>
                <w:bCs/>
                <w:kern w:val="36"/>
                <w:sz w:val="20"/>
                <w:szCs w:val="20"/>
                <w:lang w:eastAsia="fr-FR"/>
              </w:rPr>
              <w:t xml:space="preserve"> by the </w:t>
            </w:r>
            <w:proofErr w:type="spellStart"/>
            <w:r w:rsidRPr="0083798E">
              <w:rPr>
                <w:rFonts w:ascii="Times New Roman" w:eastAsia="Times New Roman" w:hAnsi="Times New Roman" w:cs="Times New Roman"/>
                <w:bCs/>
                <w:kern w:val="36"/>
                <w:sz w:val="20"/>
                <w:szCs w:val="20"/>
                <w:lang w:eastAsia="fr-FR"/>
              </w:rPr>
              <w:t>geographical</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origin</w:t>
            </w:r>
            <w:proofErr w:type="spellEnd"/>
            <w:r w:rsidRPr="0083798E">
              <w:rPr>
                <w:rFonts w:ascii="Times New Roman" w:eastAsia="Times New Roman" w:hAnsi="Times New Roman" w:cs="Times New Roman"/>
                <w:bCs/>
                <w:kern w:val="36"/>
                <w:sz w:val="20"/>
                <w:szCs w:val="20"/>
                <w:lang w:eastAsia="fr-FR"/>
              </w:rPr>
              <w:t xml:space="preserve"> of the </w:t>
            </w:r>
            <w:proofErr w:type="spellStart"/>
            <w:r w:rsidRPr="0083798E">
              <w:rPr>
                <w:rFonts w:ascii="Times New Roman" w:eastAsia="Times New Roman" w:hAnsi="Times New Roman" w:cs="Times New Roman"/>
                <w:bCs/>
                <w:kern w:val="36"/>
                <w:sz w:val="20"/>
                <w:szCs w:val="20"/>
                <w:lang w:eastAsia="fr-FR"/>
              </w:rPr>
              <w:t>banks</w:t>
            </w:r>
            <w:proofErr w:type="spellEnd"/>
            <w:r w:rsidRPr="0083798E">
              <w:rPr>
                <w:rFonts w:ascii="Times New Roman" w:eastAsia="Times New Roman" w:hAnsi="Times New Roman" w:cs="Times New Roman"/>
                <w:bCs/>
                <w:kern w:val="36"/>
                <w:sz w:val="20"/>
                <w:szCs w:val="20"/>
                <w:lang w:eastAsia="fr-FR"/>
              </w:rPr>
              <w:t xml:space="preserve"> and the </w:t>
            </w:r>
            <w:proofErr w:type="spellStart"/>
            <w:r w:rsidRPr="0083798E">
              <w:rPr>
                <w:rFonts w:ascii="Times New Roman" w:eastAsia="Times New Roman" w:hAnsi="Times New Roman" w:cs="Times New Roman"/>
                <w:bCs/>
                <w:kern w:val="36"/>
                <w:sz w:val="20"/>
                <w:szCs w:val="20"/>
                <w:lang w:eastAsia="fr-FR"/>
              </w:rPr>
              <w:t>environmental</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policy</w:t>
            </w:r>
            <w:proofErr w:type="spellEnd"/>
            <w:r w:rsidRPr="0083798E">
              <w:rPr>
                <w:rFonts w:ascii="Times New Roman" w:eastAsia="Times New Roman" w:hAnsi="Times New Roman" w:cs="Times New Roman"/>
                <w:bCs/>
                <w:kern w:val="36"/>
                <w:sz w:val="20"/>
                <w:szCs w:val="20"/>
                <w:lang w:eastAsia="fr-FR"/>
              </w:rPr>
              <w:t xml:space="preserve"> of the home country.</w:t>
            </w:r>
          </w:p>
          <w:p w:rsidR="0083798E" w:rsidRPr="0083798E" w:rsidRDefault="0083798E" w:rsidP="00EB3251">
            <w:pPr>
              <w:spacing w:before="100" w:beforeAutospacing="1" w:after="100" w:afterAutospacing="1"/>
              <w:jc w:val="both"/>
              <w:outlineLvl w:val="0"/>
              <w:rPr>
                <w:rFonts w:ascii="Times New Roman" w:eastAsia="Times New Roman" w:hAnsi="Times New Roman" w:cs="Times New Roman"/>
                <w:bCs/>
                <w:kern w:val="36"/>
                <w:sz w:val="20"/>
                <w:szCs w:val="20"/>
                <w:lang w:eastAsia="fr-FR"/>
              </w:rPr>
            </w:pPr>
            <w:r w:rsidRPr="0083798E">
              <w:rPr>
                <w:rFonts w:ascii="Times New Roman" w:eastAsia="Times New Roman" w:hAnsi="Times New Roman" w:cs="Times New Roman"/>
                <w:bCs/>
                <w:kern w:val="36"/>
                <w:sz w:val="20"/>
                <w:szCs w:val="20"/>
                <w:lang w:eastAsia="fr-FR"/>
              </w:rPr>
              <w:t>Key</w:t>
            </w:r>
            <w:r>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words</w:t>
            </w:r>
            <w:proofErr w:type="spellEnd"/>
            <w:r w:rsidRPr="0083798E">
              <w:rPr>
                <w:rFonts w:ascii="Times New Roman" w:eastAsia="Times New Roman" w:hAnsi="Times New Roman" w:cs="Times New Roman"/>
                <w:bCs/>
                <w:kern w:val="36"/>
                <w:sz w:val="20"/>
                <w:szCs w:val="20"/>
                <w:lang w:eastAsia="fr-FR"/>
              </w:rPr>
              <w:t xml:space="preserve"> : Social and </w:t>
            </w:r>
            <w:proofErr w:type="spellStart"/>
            <w:r w:rsidRPr="0083798E">
              <w:rPr>
                <w:rFonts w:ascii="Times New Roman" w:eastAsia="Times New Roman" w:hAnsi="Times New Roman" w:cs="Times New Roman"/>
                <w:bCs/>
                <w:kern w:val="36"/>
                <w:sz w:val="20"/>
                <w:szCs w:val="20"/>
                <w:lang w:eastAsia="fr-FR"/>
              </w:rPr>
              <w:t>environmental</w:t>
            </w:r>
            <w:proofErr w:type="spellEnd"/>
            <w:r w:rsidRPr="0083798E">
              <w:rPr>
                <w:rFonts w:ascii="Times New Roman" w:eastAsia="Times New Roman" w:hAnsi="Times New Roman" w:cs="Times New Roman"/>
                <w:bCs/>
                <w:kern w:val="36"/>
                <w:sz w:val="20"/>
                <w:szCs w:val="20"/>
                <w:lang w:eastAsia="fr-FR"/>
              </w:rPr>
              <w:t xml:space="preserve"> </w:t>
            </w:r>
            <w:proofErr w:type="spellStart"/>
            <w:r w:rsidR="006F65E6">
              <w:rPr>
                <w:rFonts w:ascii="Times New Roman" w:eastAsia="Times New Roman" w:hAnsi="Times New Roman" w:cs="Times New Roman"/>
                <w:bCs/>
                <w:kern w:val="36"/>
                <w:sz w:val="20"/>
                <w:szCs w:val="20"/>
                <w:lang w:eastAsia="fr-FR"/>
              </w:rPr>
              <w:t>voluntary</w:t>
            </w:r>
            <w:proofErr w:type="spellEnd"/>
            <w:r w:rsidR="006F65E6">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disclosure</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environmental</w:t>
            </w:r>
            <w:proofErr w:type="spellEnd"/>
            <w:r w:rsidRPr="0083798E">
              <w:rPr>
                <w:rFonts w:ascii="Times New Roman" w:eastAsia="Times New Roman" w:hAnsi="Times New Roman" w:cs="Times New Roman"/>
                <w:bCs/>
                <w:kern w:val="36"/>
                <w:sz w:val="20"/>
                <w:szCs w:val="20"/>
                <w:lang w:eastAsia="fr-FR"/>
              </w:rPr>
              <w:t xml:space="preserve"> performance, </w:t>
            </w:r>
            <w:proofErr w:type="spellStart"/>
            <w:r w:rsidRPr="0083798E">
              <w:rPr>
                <w:rFonts w:ascii="Times New Roman" w:eastAsia="Times New Roman" w:hAnsi="Times New Roman" w:cs="Times New Roman"/>
                <w:bCs/>
                <w:kern w:val="36"/>
                <w:sz w:val="20"/>
                <w:szCs w:val="20"/>
                <w:lang w:eastAsia="fr-FR"/>
              </w:rPr>
              <w:t>banking</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industry</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legitimacy</w:t>
            </w:r>
            <w:proofErr w:type="spellEnd"/>
            <w:r w:rsidRPr="0083798E">
              <w:rPr>
                <w:rFonts w:ascii="Times New Roman" w:eastAsia="Times New Roman" w:hAnsi="Times New Roman" w:cs="Times New Roman"/>
                <w:bCs/>
                <w:kern w:val="36"/>
                <w:sz w:val="20"/>
                <w:szCs w:val="20"/>
                <w:lang w:eastAsia="fr-FR"/>
              </w:rPr>
              <w:t xml:space="preserve"> </w:t>
            </w:r>
            <w:proofErr w:type="spellStart"/>
            <w:r w:rsidRPr="0083798E">
              <w:rPr>
                <w:rFonts w:ascii="Times New Roman" w:eastAsia="Times New Roman" w:hAnsi="Times New Roman" w:cs="Times New Roman"/>
                <w:bCs/>
                <w:kern w:val="36"/>
                <w:sz w:val="20"/>
                <w:szCs w:val="20"/>
                <w:lang w:eastAsia="fr-FR"/>
              </w:rPr>
              <w:t>theory</w:t>
            </w:r>
            <w:proofErr w:type="spellEnd"/>
            <w:r w:rsidRPr="0083798E">
              <w:rPr>
                <w:rFonts w:ascii="Times New Roman" w:eastAsia="Times New Roman" w:hAnsi="Times New Roman" w:cs="Times New Roman"/>
                <w:bCs/>
                <w:kern w:val="36"/>
                <w:sz w:val="20"/>
                <w:szCs w:val="20"/>
                <w:lang w:eastAsia="fr-FR"/>
              </w:rPr>
              <w:t>.</w:t>
            </w:r>
          </w:p>
        </w:tc>
      </w:tr>
    </w:tbl>
    <w:p w:rsidR="00EB3251" w:rsidRPr="00255584" w:rsidRDefault="0083798E" w:rsidP="00EB3251">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fr-FR"/>
        </w:rPr>
      </w:pPr>
      <w:r w:rsidRPr="00255584">
        <w:rPr>
          <w:rFonts w:ascii="Times New Roman" w:eastAsia="Times New Roman" w:hAnsi="Times New Roman" w:cs="Times New Roman"/>
          <w:b/>
          <w:bCs/>
          <w:kern w:val="36"/>
          <w:sz w:val="28"/>
          <w:szCs w:val="28"/>
          <w:lang w:eastAsia="fr-FR"/>
        </w:rPr>
        <w:t>1 I</w:t>
      </w:r>
      <w:r w:rsidR="00255584" w:rsidRPr="00255584">
        <w:rPr>
          <w:rFonts w:ascii="Times New Roman" w:eastAsia="Times New Roman" w:hAnsi="Times New Roman" w:cs="Times New Roman"/>
          <w:b/>
          <w:bCs/>
          <w:kern w:val="36"/>
          <w:sz w:val="28"/>
          <w:szCs w:val="28"/>
          <w:lang w:eastAsia="fr-FR"/>
        </w:rPr>
        <w:t>ntroduction</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Il se</w:t>
      </w:r>
      <w:r>
        <w:rPr>
          <w:rFonts w:ascii="Times New Roman" w:eastAsia="Times New Roman" w:hAnsi="Times New Roman" w:cs="Times New Roman"/>
          <w:bCs/>
          <w:kern w:val="36"/>
          <w:sz w:val="24"/>
          <w:szCs w:val="24"/>
          <w:lang w:eastAsia="fr-FR"/>
        </w:rPr>
        <w:t>mble désormais partagé et acquis</w:t>
      </w:r>
      <w:r w:rsidRPr="001845C0">
        <w:rPr>
          <w:rFonts w:ascii="Times New Roman" w:eastAsia="Times New Roman" w:hAnsi="Times New Roman" w:cs="Times New Roman"/>
          <w:bCs/>
          <w:kern w:val="36"/>
          <w:sz w:val="24"/>
          <w:szCs w:val="24"/>
          <w:lang w:eastAsia="fr-FR"/>
        </w:rPr>
        <w:t xml:space="preserve"> que le réchauffement climatique est dû quasi-exclusivement aux activités humaines et aux émissions de gaz à effet de serre (GES) : il atteint déjà +1°C</w:t>
      </w:r>
      <w:r>
        <w:rPr>
          <w:rFonts w:ascii="Times New Roman" w:eastAsia="Times New Roman" w:hAnsi="Times New Roman" w:cs="Times New Roman"/>
          <w:bCs/>
          <w:kern w:val="36"/>
          <w:sz w:val="24"/>
          <w:szCs w:val="24"/>
          <w:lang w:eastAsia="fr-FR"/>
        </w:rPr>
        <w:t xml:space="preserve"> par rapport à l’ère pré</w:t>
      </w:r>
      <w:r w:rsidRPr="001845C0">
        <w:rPr>
          <w:rFonts w:ascii="Times New Roman" w:eastAsia="Times New Roman" w:hAnsi="Times New Roman" w:cs="Times New Roman"/>
          <w:bCs/>
          <w:kern w:val="36"/>
          <w:sz w:val="24"/>
          <w:szCs w:val="24"/>
          <w:lang w:eastAsia="fr-FR"/>
        </w:rPr>
        <w:t>industrielle (</w:t>
      </w:r>
      <w:proofErr w:type="spellStart"/>
      <w:r w:rsidRPr="001845C0">
        <w:rPr>
          <w:rFonts w:ascii="Times New Roman" w:eastAsia="Times New Roman" w:hAnsi="Times New Roman" w:cs="Times New Roman"/>
          <w:bCs/>
          <w:kern w:val="36"/>
          <w:sz w:val="24"/>
          <w:szCs w:val="24"/>
          <w:lang w:eastAsia="fr-FR"/>
        </w:rPr>
        <w:t>Gillett</w:t>
      </w:r>
      <w:proofErr w:type="spellEnd"/>
      <w:r>
        <w:rPr>
          <w:rFonts w:ascii="Times New Roman" w:eastAsia="Times New Roman" w:hAnsi="Times New Roman" w:cs="Times New Roman"/>
          <w:bCs/>
          <w:kern w:val="36"/>
          <w:sz w:val="24"/>
          <w:szCs w:val="24"/>
          <w:lang w:eastAsia="fr-FR"/>
        </w:rPr>
        <w:t xml:space="preserve"> </w:t>
      </w:r>
      <w:r w:rsidR="00D87613">
        <w:rPr>
          <w:rFonts w:ascii="Times New Roman" w:eastAsia="Times New Roman" w:hAnsi="Times New Roman" w:cs="Times New Roman"/>
          <w:bCs/>
          <w:kern w:val="36"/>
          <w:sz w:val="24"/>
          <w:szCs w:val="24"/>
          <w:lang w:eastAsia="fr-FR"/>
        </w:rPr>
        <w:t>et al.</w:t>
      </w:r>
      <w:r w:rsidRPr="001845C0">
        <w:rPr>
          <w:rFonts w:ascii="Times New Roman" w:eastAsia="Times New Roman" w:hAnsi="Times New Roman" w:cs="Times New Roman"/>
          <w:bCs/>
          <w:kern w:val="36"/>
          <w:sz w:val="24"/>
          <w:szCs w:val="24"/>
          <w:lang w:eastAsia="fr-FR"/>
        </w:rPr>
        <w:t xml:space="preserve"> 2021).  La combustion des énergies fossiles (charbon, gaz, pétrole) pour différents usages (électricité, transport, industries…) est la principale cause d’émission de GES, et particulièrement de CO2. Malgré cette causalité démontrée, plusieurs rapports récents mettent en évidence les investissements encore colossaux </w:t>
      </w:r>
      <w:r w:rsidRPr="001845C0">
        <w:rPr>
          <w:rFonts w:ascii="Times New Roman" w:eastAsia="Times New Roman" w:hAnsi="Times New Roman" w:cs="Times New Roman"/>
          <w:bCs/>
          <w:kern w:val="36"/>
          <w:sz w:val="24"/>
          <w:szCs w:val="24"/>
          <w:lang w:eastAsia="fr-FR"/>
        </w:rPr>
        <w:lastRenderedPageBreak/>
        <w:t xml:space="preserve">réalisés </w:t>
      </w:r>
      <w:r>
        <w:rPr>
          <w:rFonts w:ascii="Times New Roman" w:eastAsia="Times New Roman" w:hAnsi="Times New Roman" w:cs="Times New Roman"/>
          <w:bCs/>
          <w:kern w:val="36"/>
          <w:sz w:val="24"/>
          <w:szCs w:val="24"/>
          <w:lang w:eastAsia="fr-FR"/>
        </w:rPr>
        <w:t xml:space="preserve">et à venir </w:t>
      </w:r>
      <w:r w:rsidRPr="001845C0">
        <w:rPr>
          <w:rFonts w:ascii="Times New Roman" w:eastAsia="Times New Roman" w:hAnsi="Times New Roman" w:cs="Times New Roman"/>
          <w:bCs/>
          <w:kern w:val="36"/>
          <w:sz w:val="24"/>
          <w:szCs w:val="24"/>
          <w:lang w:eastAsia="fr-FR"/>
        </w:rPr>
        <w:t>dans ces sources d’énergie</w:t>
      </w:r>
      <w:r>
        <w:rPr>
          <w:rFonts w:ascii="Times New Roman" w:eastAsia="Times New Roman" w:hAnsi="Times New Roman" w:cs="Times New Roman"/>
          <w:bCs/>
          <w:kern w:val="36"/>
          <w:sz w:val="24"/>
          <w:szCs w:val="24"/>
          <w:lang w:eastAsia="fr-FR"/>
        </w:rPr>
        <w:t> (</w:t>
      </w:r>
      <w:r w:rsidRPr="00B05B6C">
        <w:rPr>
          <w:rFonts w:ascii="Times New Roman" w:eastAsia="Times New Roman" w:hAnsi="Times New Roman" w:cs="Times New Roman"/>
          <w:bCs/>
          <w:i/>
          <w:kern w:val="36"/>
          <w:sz w:val="24"/>
          <w:szCs w:val="24"/>
          <w:lang w:eastAsia="fr-FR"/>
        </w:rPr>
        <w:t xml:space="preserve">Global </w:t>
      </w:r>
      <w:proofErr w:type="spellStart"/>
      <w:r w:rsidRPr="00B05B6C">
        <w:rPr>
          <w:rFonts w:ascii="Times New Roman" w:eastAsia="Times New Roman" w:hAnsi="Times New Roman" w:cs="Times New Roman"/>
          <w:bCs/>
          <w:i/>
          <w:kern w:val="36"/>
          <w:sz w:val="24"/>
          <w:szCs w:val="24"/>
          <w:lang w:eastAsia="fr-FR"/>
        </w:rPr>
        <w:t>Witness</w:t>
      </w:r>
      <w:proofErr w:type="spellEnd"/>
      <w:r>
        <w:rPr>
          <w:rFonts w:ascii="Times New Roman" w:eastAsia="Times New Roman" w:hAnsi="Times New Roman" w:cs="Times New Roman"/>
          <w:bCs/>
          <w:kern w:val="36"/>
          <w:sz w:val="24"/>
          <w:szCs w:val="24"/>
          <w:lang w:eastAsia="fr-FR"/>
        </w:rPr>
        <w:t xml:space="preserve">, Avril 2019, </w:t>
      </w:r>
      <w:r w:rsidRPr="00B05B6C">
        <w:rPr>
          <w:rFonts w:ascii="Times New Roman" w:eastAsia="Times New Roman" w:hAnsi="Times New Roman" w:cs="Times New Roman"/>
          <w:bCs/>
          <w:i/>
          <w:kern w:val="36"/>
          <w:sz w:val="24"/>
          <w:szCs w:val="24"/>
          <w:lang w:eastAsia="fr-FR"/>
        </w:rPr>
        <w:t xml:space="preserve">The </w:t>
      </w:r>
      <w:proofErr w:type="spellStart"/>
      <w:r w:rsidRPr="00B05B6C">
        <w:rPr>
          <w:rFonts w:ascii="Times New Roman" w:eastAsia="Times New Roman" w:hAnsi="Times New Roman" w:cs="Times New Roman"/>
          <w:bCs/>
          <w:i/>
          <w:kern w:val="36"/>
          <w:sz w:val="24"/>
          <w:szCs w:val="24"/>
          <w:lang w:eastAsia="fr-FR"/>
        </w:rPr>
        <w:t>Carbon</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Tracker</w:t>
      </w:r>
      <w:proofErr w:type="spellEnd"/>
      <w:r w:rsidRPr="00B05B6C">
        <w:rPr>
          <w:rFonts w:ascii="Times New Roman" w:eastAsia="Times New Roman" w:hAnsi="Times New Roman" w:cs="Times New Roman"/>
          <w:bCs/>
          <w:i/>
          <w:kern w:val="36"/>
          <w:sz w:val="24"/>
          <w:szCs w:val="24"/>
          <w:lang w:eastAsia="fr-FR"/>
        </w:rPr>
        <w:t xml:space="preserve"> Initiative</w:t>
      </w:r>
      <w:r>
        <w:rPr>
          <w:rFonts w:ascii="Times New Roman" w:eastAsia="Times New Roman" w:hAnsi="Times New Roman" w:cs="Times New Roman"/>
          <w:bCs/>
          <w:kern w:val="36"/>
          <w:sz w:val="24"/>
          <w:szCs w:val="24"/>
          <w:lang w:eastAsia="fr-FR"/>
        </w:rPr>
        <w:t>, mars 2020</w:t>
      </w:r>
      <w:r>
        <w:rPr>
          <w:rStyle w:val="Appelnotedebasdep"/>
          <w:rFonts w:ascii="Times New Roman" w:eastAsia="Times New Roman" w:hAnsi="Times New Roman" w:cs="Times New Roman"/>
          <w:bCs/>
          <w:kern w:val="36"/>
          <w:sz w:val="24"/>
          <w:szCs w:val="24"/>
          <w:lang w:eastAsia="fr-FR"/>
        </w:rPr>
        <w:footnoteReference w:id="1"/>
      </w:r>
      <w:r>
        <w:rPr>
          <w:rFonts w:ascii="Times New Roman" w:eastAsia="Times New Roman" w:hAnsi="Times New Roman" w:cs="Times New Roman"/>
          <w:bCs/>
          <w:kern w:val="36"/>
          <w:sz w:val="24"/>
          <w:szCs w:val="24"/>
          <w:lang w:eastAsia="fr-FR"/>
        </w:rPr>
        <w:t>).</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Financeurs directs et indirects de l’économie réelle (prêts accordés aux particuliers, aux entreprises, aux gouvernements, gestion d’actifs, souscription de titres</w:t>
      </w:r>
      <w:r>
        <w:rPr>
          <w:rFonts w:ascii="Times New Roman" w:eastAsia="Times New Roman" w:hAnsi="Times New Roman" w:cs="Times New Roman"/>
          <w:bCs/>
          <w:kern w:val="36"/>
          <w:sz w:val="24"/>
          <w:szCs w:val="24"/>
          <w:lang w:eastAsia="fr-FR"/>
        </w:rPr>
        <w:t xml:space="preserve">, </w:t>
      </w:r>
      <w:r w:rsidRPr="0032413F">
        <w:rPr>
          <w:rFonts w:ascii="Times New Roman" w:eastAsia="Times New Roman" w:hAnsi="Times New Roman" w:cs="Times New Roman"/>
          <w:bCs/>
          <w:kern w:val="36"/>
          <w:sz w:val="24"/>
          <w:szCs w:val="24"/>
          <w:lang w:eastAsia="fr-FR"/>
        </w:rPr>
        <w:t>investissements, épargne des particuliers</w:t>
      </w:r>
      <w:r w:rsidRPr="001845C0">
        <w:rPr>
          <w:rFonts w:ascii="Times New Roman" w:eastAsia="Times New Roman" w:hAnsi="Times New Roman" w:cs="Times New Roman"/>
          <w:bCs/>
          <w:kern w:val="36"/>
          <w:sz w:val="24"/>
          <w:szCs w:val="24"/>
          <w:lang w:eastAsia="fr-FR"/>
        </w:rPr>
        <w:t xml:space="preserve">), les banques ont un rôle crucial à jouer dans la lutte contre le dérèglement climatique. </w:t>
      </w:r>
      <w:r>
        <w:rPr>
          <w:rFonts w:ascii="Times New Roman" w:eastAsia="Times New Roman" w:hAnsi="Times New Roman" w:cs="Times New Roman"/>
          <w:bCs/>
          <w:kern w:val="36"/>
          <w:sz w:val="24"/>
          <w:szCs w:val="24"/>
          <w:lang w:eastAsia="fr-FR"/>
        </w:rPr>
        <w:t>Ces dernières années ont vu se multiplier les engagements et initiatives du secteur bancaire et financier pour intégrer les enjeux environnementaux</w:t>
      </w:r>
      <w:r>
        <w:rPr>
          <w:rStyle w:val="Appelnotedebasdep"/>
          <w:rFonts w:ascii="Times New Roman" w:eastAsia="Times New Roman" w:hAnsi="Times New Roman" w:cs="Times New Roman"/>
          <w:bCs/>
          <w:kern w:val="36"/>
          <w:sz w:val="24"/>
          <w:szCs w:val="24"/>
          <w:lang w:eastAsia="fr-FR"/>
        </w:rPr>
        <w:footnoteReference w:id="2"/>
      </w:r>
      <w:r>
        <w:rPr>
          <w:rFonts w:ascii="Times New Roman" w:eastAsia="Times New Roman" w:hAnsi="Times New Roman" w:cs="Times New Roman"/>
          <w:bCs/>
          <w:kern w:val="36"/>
          <w:sz w:val="24"/>
          <w:szCs w:val="24"/>
          <w:lang w:eastAsia="fr-FR"/>
        </w:rPr>
        <w:t xml:space="preserve"> : </w:t>
      </w:r>
      <w:r w:rsidRPr="00B05B6C">
        <w:rPr>
          <w:rFonts w:ascii="Times New Roman" w:eastAsia="Times New Roman" w:hAnsi="Times New Roman" w:cs="Times New Roman"/>
          <w:bCs/>
          <w:i/>
          <w:kern w:val="36"/>
          <w:sz w:val="24"/>
          <w:szCs w:val="24"/>
          <w:lang w:eastAsia="fr-FR"/>
        </w:rPr>
        <w:t xml:space="preserve">Green Bond </w:t>
      </w:r>
      <w:proofErr w:type="spellStart"/>
      <w:r w:rsidRPr="00B05B6C">
        <w:rPr>
          <w:rFonts w:ascii="Times New Roman" w:eastAsia="Times New Roman" w:hAnsi="Times New Roman" w:cs="Times New Roman"/>
          <w:bCs/>
          <w:i/>
          <w:kern w:val="36"/>
          <w:sz w:val="24"/>
          <w:szCs w:val="24"/>
          <w:lang w:eastAsia="fr-FR"/>
        </w:rPr>
        <w:t>Principles</w:t>
      </w:r>
      <w:proofErr w:type="spellEnd"/>
      <w:r>
        <w:rPr>
          <w:rFonts w:ascii="Times New Roman" w:eastAsia="Times New Roman" w:hAnsi="Times New Roman" w:cs="Times New Roman"/>
          <w:bCs/>
          <w:kern w:val="36"/>
          <w:sz w:val="24"/>
          <w:szCs w:val="24"/>
          <w:lang w:eastAsia="fr-FR"/>
        </w:rPr>
        <w:t>, GBP,</w:t>
      </w:r>
      <w:r w:rsidRPr="00941CF6">
        <w:rPr>
          <w:rFonts w:ascii="Times New Roman" w:eastAsia="Times New Roman" w:hAnsi="Times New Roman" w:cs="Times New Roman"/>
          <w:bCs/>
          <w:kern w:val="36"/>
          <w:sz w:val="24"/>
          <w:szCs w:val="24"/>
          <w:lang w:eastAsia="fr-FR"/>
        </w:rPr>
        <w:t xml:space="preserve"> </w:t>
      </w:r>
      <w:r w:rsidRPr="00B05B6C">
        <w:rPr>
          <w:rFonts w:ascii="Times New Roman" w:eastAsia="Times New Roman" w:hAnsi="Times New Roman" w:cs="Times New Roman"/>
          <w:bCs/>
          <w:i/>
          <w:kern w:val="36"/>
          <w:sz w:val="24"/>
          <w:szCs w:val="24"/>
          <w:lang w:eastAsia="fr-FR"/>
        </w:rPr>
        <w:t xml:space="preserve">Banking </w:t>
      </w:r>
      <w:proofErr w:type="spellStart"/>
      <w:r w:rsidRPr="00B05B6C">
        <w:rPr>
          <w:rFonts w:ascii="Times New Roman" w:eastAsia="Times New Roman" w:hAnsi="Times New Roman" w:cs="Times New Roman"/>
          <w:bCs/>
          <w:i/>
          <w:kern w:val="36"/>
          <w:sz w:val="24"/>
          <w:szCs w:val="24"/>
          <w:lang w:eastAsia="fr-FR"/>
        </w:rPr>
        <w:t>Environment</w:t>
      </w:r>
      <w:proofErr w:type="spellEnd"/>
      <w:r w:rsidRPr="00B05B6C">
        <w:rPr>
          <w:rFonts w:ascii="Times New Roman" w:eastAsia="Times New Roman" w:hAnsi="Times New Roman" w:cs="Times New Roman"/>
          <w:bCs/>
          <w:i/>
          <w:kern w:val="36"/>
          <w:sz w:val="24"/>
          <w:szCs w:val="24"/>
          <w:lang w:eastAsia="fr-FR"/>
        </w:rPr>
        <w:t xml:space="preserve"> Initiative</w:t>
      </w:r>
      <w:r>
        <w:rPr>
          <w:rFonts w:ascii="Times New Roman" w:eastAsia="Times New Roman" w:hAnsi="Times New Roman" w:cs="Times New Roman"/>
          <w:bCs/>
          <w:kern w:val="36"/>
          <w:sz w:val="24"/>
          <w:szCs w:val="24"/>
          <w:lang w:eastAsia="fr-FR"/>
        </w:rPr>
        <w:t xml:space="preserve"> BEI,</w:t>
      </w:r>
      <w:r w:rsidRPr="00941CF6">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Principles</w:t>
      </w:r>
      <w:proofErr w:type="spellEnd"/>
      <w:r w:rsidRPr="00B05B6C">
        <w:rPr>
          <w:rFonts w:ascii="Times New Roman" w:eastAsia="Times New Roman" w:hAnsi="Times New Roman" w:cs="Times New Roman"/>
          <w:bCs/>
          <w:i/>
          <w:kern w:val="36"/>
          <w:sz w:val="24"/>
          <w:szCs w:val="24"/>
          <w:lang w:eastAsia="fr-FR"/>
        </w:rPr>
        <w:t xml:space="preserve"> for </w:t>
      </w:r>
      <w:proofErr w:type="spellStart"/>
      <w:r w:rsidRPr="00B05B6C">
        <w:rPr>
          <w:rFonts w:ascii="Times New Roman" w:eastAsia="Times New Roman" w:hAnsi="Times New Roman" w:cs="Times New Roman"/>
          <w:bCs/>
          <w:i/>
          <w:kern w:val="36"/>
          <w:sz w:val="24"/>
          <w:szCs w:val="24"/>
          <w:lang w:eastAsia="fr-FR"/>
        </w:rPr>
        <w:t>Responsible</w:t>
      </w:r>
      <w:proofErr w:type="spellEnd"/>
      <w:r w:rsidRPr="00B05B6C">
        <w:rPr>
          <w:rFonts w:ascii="Times New Roman" w:eastAsia="Times New Roman" w:hAnsi="Times New Roman" w:cs="Times New Roman"/>
          <w:bCs/>
          <w:i/>
          <w:kern w:val="36"/>
          <w:sz w:val="24"/>
          <w:szCs w:val="24"/>
          <w:lang w:eastAsia="fr-FR"/>
        </w:rPr>
        <w:t xml:space="preserve"> Banking</w:t>
      </w:r>
      <w:r w:rsidRPr="00941CF6">
        <w:rPr>
          <w:rFonts w:ascii="Times New Roman" w:eastAsia="Times New Roman" w:hAnsi="Times New Roman" w:cs="Times New Roman"/>
          <w:bCs/>
          <w:kern w:val="36"/>
          <w:sz w:val="24"/>
          <w:szCs w:val="24"/>
          <w:lang w:eastAsia="fr-FR"/>
        </w:rPr>
        <w:t xml:space="preserve"> PRB</w:t>
      </w:r>
      <w:r>
        <w:rPr>
          <w:rFonts w:ascii="Times New Roman" w:eastAsia="Times New Roman" w:hAnsi="Times New Roman" w:cs="Times New Roman"/>
          <w:bCs/>
          <w:kern w:val="36"/>
          <w:sz w:val="24"/>
          <w:szCs w:val="24"/>
          <w:lang w:eastAsia="fr-FR"/>
        </w:rPr>
        <w:t>,</w:t>
      </w:r>
      <w:r w:rsidRPr="00941CF6">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Carbon</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Principles</w:t>
      </w:r>
      <w:proofErr w:type="spellEnd"/>
      <w:r>
        <w:rPr>
          <w:rFonts w:ascii="Times New Roman" w:eastAsia="Times New Roman" w:hAnsi="Times New Roman" w:cs="Times New Roman"/>
          <w:bCs/>
          <w:kern w:val="36"/>
          <w:sz w:val="24"/>
          <w:szCs w:val="24"/>
          <w:lang w:eastAsia="fr-FR"/>
        </w:rPr>
        <w:t>,</w:t>
      </w:r>
      <w:r w:rsidRPr="00941CF6">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Partnership</w:t>
      </w:r>
      <w:proofErr w:type="spellEnd"/>
      <w:r w:rsidRPr="00B05B6C">
        <w:rPr>
          <w:rFonts w:ascii="Times New Roman" w:eastAsia="Times New Roman" w:hAnsi="Times New Roman" w:cs="Times New Roman"/>
          <w:bCs/>
          <w:i/>
          <w:kern w:val="36"/>
          <w:sz w:val="24"/>
          <w:szCs w:val="24"/>
          <w:lang w:eastAsia="fr-FR"/>
        </w:rPr>
        <w:t xml:space="preserve"> for </w:t>
      </w:r>
      <w:proofErr w:type="spellStart"/>
      <w:r w:rsidRPr="00B05B6C">
        <w:rPr>
          <w:rFonts w:ascii="Times New Roman" w:eastAsia="Times New Roman" w:hAnsi="Times New Roman" w:cs="Times New Roman"/>
          <w:bCs/>
          <w:i/>
          <w:kern w:val="36"/>
          <w:sz w:val="24"/>
          <w:szCs w:val="24"/>
          <w:lang w:eastAsia="fr-FR"/>
        </w:rPr>
        <w:t>Carbon</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Accounting</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Financials</w:t>
      </w:r>
      <w:proofErr w:type="spellEnd"/>
      <w:r>
        <w:rPr>
          <w:rFonts w:ascii="Times New Roman" w:eastAsia="Times New Roman" w:hAnsi="Times New Roman" w:cs="Times New Roman"/>
          <w:bCs/>
          <w:kern w:val="36"/>
          <w:sz w:val="24"/>
          <w:szCs w:val="24"/>
          <w:lang w:eastAsia="fr-FR"/>
        </w:rPr>
        <w:t xml:space="preserve"> PCAF,</w:t>
      </w:r>
      <w:r w:rsidRPr="00941CF6">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Principles</w:t>
      </w:r>
      <w:proofErr w:type="spellEnd"/>
      <w:r w:rsidRPr="00B05B6C">
        <w:rPr>
          <w:rFonts w:ascii="Times New Roman" w:eastAsia="Times New Roman" w:hAnsi="Times New Roman" w:cs="Times New Roman"/>
          <w:bCs/>
          <w:i/>
          <w:kern w:val="36"/>
          <w:sz w:val="24"/>
          <w:szCs w:val="24"/>
          <w:lang w:eastAsia="fr-FR"/>
        </w:rPr>
        <w:t xml:space="preserve"> for </w:t>
      </w:r>
      <w:proofErr w:type="spellStart"/>
      <w:r w:rsidRPr="00B05B6C">
        <w:rPr>
          <w:rFonts w:ascii="Times New Roman" w:eastAsia="Times New Roman" w:hAnsi="Times New Roman" w:cs="Times New Roman"/>
          <w:bCs/>
          <w:i/>
          <w:kern w:val="36"/>
          <w:sz w:val="24"/>
          <w:szCs w:val="24"/>
          <w:lang w:eastAsia="fr-FR"/>
        </w:rPr>
        <w:t>Responsible</w:t>
      </w:r>
      <w:proofErr w:type="spellEnd"/>
      <w:r w:rsidRPr="00B05B6C">
        <w:rPr>
          <w:rFonts w:ascii="Times New Roman" w:eastAsia="Times New Roman" w:hAnsi="Times New Roman" w:cs="Times New Roman"/>
          <w:bCs/>
          <w:i/>
          <w:kern w:val="36"/>
          <w:sz w:val="24"/>
          <w:szCs w:val="24"/>
          <w:lang w:eastAsia="fr-FR"/>
        </w:rPr>
        <w:t xml:space="preserve"> Investment</w:t>
      </w:r>
      <w:r w:rsidRPr="00941CF6">
        <w:rPr>
          <w:rFonts w:ascii="Times New Roman" w:eastAsia="Times New Roman" w:hAnsi="Times New Roman" w:cs="Times New Roman"/>
          <w:bCs/>
          <w:kern w:val="36"/>
          <w:sz w:val="24"/>
          <w:szCs w:val="24"/>
          <w:lang w:eastAsia="fr-FR"/>
        </w:rPr>
        <w:t xml:space="preserve"> PRI</w:t>
      </w:r>
      <w:r>
        <w:rPr>
          <w:rFonts w:ascii="Times New Roman" w:eastAsia="Times New Roman" w:hAnsi="Times New Roman" w:cs="Times New Roman"/>
          <w:bCs/>
          <w:kern w:val="36"/>
          <w:sz w:val="24"/>
          <w:szCs w:val="24"/>
          <w:lang w:eastAsia="fr-FR"/>
        </w:rPr>
        <w:t>,</w:t>
      </w:r>
      <w:r w:rsidRPr="00941CF6">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Task</w:t>
      </w:r>
      <w:proofErr w:type="spellEnd"/>
      <w:r w:rsidRPr="00B05B6C">
        <w:rPr>
          <w:rFonts w:ascii="Times New Roman" w:eastAsia="Times New Roman" w:hAnsi="Times New Roman" w:cs="Times New Roman"/>
          <w:bCs/>
          <w:i/>
          <w:kern w:val="36"/>
          <w:sz w:val="24"/>
          <w:szCs w:val="24"/>
          <w:lang w:eastAsia="fr-FR"/>
        </w:rPr>
        <w:t xml:space="preserve"> Force on </w:t>
      </w:r>
      <w:proofErr w:type="spellStart"/>
      <w:r w:rsidRPr="00B05B6C">
        <w:rPr>
          <w:rFonts w:ascii="Times New Roman" w:eastAsia="Times New Roman" w:hAnsi="Times New Roman" w:cs="Times New Roman"/>
          <w:bCs/>
          <w:i/>
          <w:kern w:val="36"/>
          <w:sz w:val="24"/>
          <w:szCs w:val="24"/>
          <w:lang w:eastAsia="fr-FR"/>
        </w:rPr>
        <w:t>Climate-related</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financial</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Disclosures</w:t>
      </w:r>
      <w:proofErr w:type="spellEnd"/>
      <w:r w:rsidRPr="00B05B6C">
        <w:rPr>
          <w:rFonts w:ascii="Times New Roman" w:eastAsia="Times New Roman" w:hAnsi="Times New Roman" w:cs="Times New Roman"/>
          <w:bCs/>
          <w:i/>
          <w:kern w:val="36"/>
          <w:sz w:val="24"/>
          <w:szCs w:val="24"/>
          <w:lang w:eastAsia="fr-FR"/>
        </w:rPr>
        <w:t> </w:t>
      </w:r>
      <w:r w:rsidRPr="00941CF6">
        <w:rPr>
          <w:rFonts w:ascii="Times New Roman" w:eastAsia="Times New Roman" w:hAnsi="Times New Roman" w:cs="Times New Roman"/>
          <w:bCs/>
          <w:kern w:val="36"/>
          <w:sz w:val="24"/>
          <w:szCs w:val="24"/>
          <w:lang w:eastAsia="fr-FR"/>
        </w:rPr>
        <w:t>TFCD</w:t>
      </w:r>
      <w:r>
        <w:rPr>
          <w:rFonts w:ascii="Times New Roman" w:eastAsia="Times New Roman" w:hAnsi="Times New Roman" w:cs="Times New Roman"/>
          <w:bCs/>
          <w:kern w:val="36"/>
          <w:sz w:val="24"/>
          <w:szCs w:val="24"/>
          <w:lang w:eastAsia="fr-FR"/>
        </w:rPr>
        <w:t>,</w:t>
      </w:r>
      <w:r w:rsidRPr="00941CF6">
        <w:rPr>
          <w:rFonts w:ascii="Times New Roman" w:eastAsia="Times New Roman" w:hAnsi="Times New Roman" w:cs="Times New Roman"/>
          <w:bCs/>
          <w:kern w:val="36"/>
          <w:sz w:val="24"/>
          <w:szCs w:val="24"/>
          <w:lang w:eastAsia="fr-FR"/>
        </w:rPr>
        <w:t xml:space="preserve"> UNEP </w:t>
      </w:r>
      <w:r w:rsidRPr="00B05B6C">
        <w:rPr>
          <w:rFonts w:ascii="Times New Roman" w:eastAsia="Times New Roman" w:hAnsi="Times New Roman" w:cs="Times New Roman"/>
          <w:bCs/>
          <w:i/>
          <w:kern w:val="36"/>
          <w:sz w:val="24"/>
          <w:szCs w:val="24"/>
          <w:lang w:eastAsia="fr-FR"/>
        </w:rPr>
        <w:t>Finance Initiative</w:t>
      </w:r>
      <w:r w:rsidR="00B05B6C">
        <w:rPr>
          <w:rFonts w:ascii="Times New Roman" w:eastAsia="Times New Roman" w:hAnsi="Times New Roman" w:cs="Times New Roman"/>
          <w:bCs/>
          <w:kern w:val="36"/>
          <w:sz w:val="24"/>
          <w:szCs w:val="24"/>
          <w:lang w:eastAsia="fr-FR"/>
        </w:rPr>
        <w:t>.</w:t>
      </w:r>
      <w:r>
        <w:rPr>
          <w:rFonts w:ascii="Times New Roman" w:eastAsia="Times New Roman" w:hAnsi="Times New Roman" w:cs="Times New Roman"/>
          <w:bCs/>
          <w:kern w:val="36"/>
          <w:sz w:val="24"/>
          <w:szCs w:val="24"/>
          <w:lang w:eastAsia="fr-FR"/>
        </w:rPr>
        <w:t xml:space="preserve"> Pourtant, malgré une prise de conscience évidente, des études récentes tendent à démontrer que les performances environnementales des banques demeurent perfectib</w:t>
      </w:r>
      <w:r w:rsidR="00B05B6C">
        <w:rPr>
          <w:rFonts w:ascii="Times New Roman" w:eastAsia="Times New Roman" w:hAnsi="Times New Roman" w:cs="Times New Roman"/>
          <w:bCs/>
          <w:kern w:val="36"/>
          <w:sz w:val="24"/>
          <w:szCs w:val="24"/>
          <w:lang w:eastAsia="fr-FR"/>
        </w:rPr>
        <w:t xml:space="preserve">les : </w:t>
      </w:r>
      <w:proofErr w:type="spellStart"/>
      <w:r w:rsidR="00B05B6C" w:rsidRPr="00B05B6C">
        <w:rPr>
          <w:rFonts w:ascii="Times New Roman" w:eastAsia="Times New Roman" w:hAnsi="Times New Roman" w:cs="Times New Roman"/>
          <w:bCs/>
          <w:i/>
          <w:kern w:val="36"/>
          <w:sz w:val="24"/>
          <w:szCs w:val="24"/>
          <w:lang w:eastAsia="fr-FR"/>
        </w:rPr>
        <w:t>Rainforest</w:t>
      </w:r>
      <w:proofErr w:type="spellEnd"/>
      <w:r w:rsidR="00B05B6C" w:rsidRPr="00B05B6C">
        <w:rPr>
          <w:rFonts w:ascii="Times New Roman" w:eastAsia="Times New Roman" w:hAnsi="Times New Roman" w:cs="Times New Roman"/>
          <w:bCs/>
          <w:i/>
          <w:kern w:val="36"/>
          <w:sz w:val="24"/>
          <w:szCs w:val="24"/>
          <w:lang w:eastAsia="fr-FR"/>
        </w:rPr>
        <w:t xml:space="preserve"> Action Network</w:t>
      </w:r>
      <w:r w:rsidR="00D87613">
        <w:rPr>
          <w:rFonts w:ascii="Times New Roman" w:eastAsia="Times New Roman" w:hAnsi="Times New Roman" w:cs="Times New Roman"/>
          <w:bCs/>
          <w:kern w:val="36"/>
          <w:sz w:val="24"/>
          <w:szCs w:val="24"/>
          <w:lang w:eastAsia="fr-FR"/>
        </w:rPr>
        <w:t xml:space="preserve"> RAN,</w:t>
      </w:r>
      <w:r>
        <w:rPr>
          <w:rFonts w:ascii="Times New Roman" w:eastAsia="Times New Roman" w:hAnsi="Times New Roman" w:cs="Times New Roman"/>
          <w:bCs/>
          <w:kern w:val="36"/>
          <w:sz w:val="24"/>
          <w:szCs w:val="24"/>
          <w:lang w:eastAsia="fr-FR"/>
        </w:rPr>
        <w:t xml:space="preserve"> mars 2020, sur les banques internationales, </w:t>
      </w:r>
      <w:proofErr w:type="spellStart"/>
      <w:r w:rsidRPr="00B05B6C">
        <w:rPr>
          <w:rFonts w:ascii="Times New Roman" w:eastAsia="Times New Roman" w:hAnsi="Times New Roman" w:cs="Times New Roman"/>
          <w:bCs/>
          <w:i/>
          <w:kern w:val="36"/>
          <w:sz w:val="24"/>
          <w:szCs w:val="24"/>
          <w:lang w:eastAsia="fr-FR"/>
        </w:rPr>
        <w:t>ShareAction</w:t>
      </w:r>
      <w:proofErr w:type="spellEnd"/>
      <w:r>
        <w:rPr>
          <w:rFonts w:ascii="Times New Roman" w:eastAsia="Times New Roman" w:hAnsi="Times New Roman" w:cs="Times New Roman"/>
          <w:bCs/>
          <w:kern w:val="36"/>
          <w:sz w:val="24"/>
          <w:szCs w:val="24"/>
          <w:lang w:eastAsia="fr-FR"/>
        </w:rPr>
        <w:t xml:space="preserve">, avril 2020, sur les banques européennes et </w:t>
      </w:r>
      <w:r w:rsidRPr="00B05B6C">
        <w:rPr>
          <w:rFonts w:ascii="Times New Roman" w:eastAsia="Times New Roman" w:hAnsi="Times New Roman" w:cs="Times New Roman"/>
          <w:bCs/>
          <w:i/>
          <w:kern w:val="36"/>
          <w:sz w:val="24"/>
          <w:szCs w:val="24"/>
          <w:lang w:eastAsia="fr-FR"/>
        </w:rPr>
        <w:t>Oxfam</w:t>
      </w:r>
      <w:r>
        <w:rPr>
          <w:rFonts w:ascii="Times New Roman" w:eastAsia="Times New Roman" w:hAnsi="Times New Roman" w:cs="Times New Roman"/>
          <w:bCs/>
          <w:kern w:val="36"/>
          <w:sz w:val="24"/>
          <w:szCs w:val="24"/>
          <w:lang w:eastAsia="fr-FR"/>
        </w:rPr>
        <w:t>, octobre 2020, sur les banques françaises</w:t>
      </w:r>
      <w:r>
        <w:rPr>
          <w:rStyle w:val="Appelnotedebasdep"/>
          <w:rFonts w:ascii="Times New Roman" w:eastAsia="Times New Roman" w:hAnsi="Times New Roman" w:cs="Times New Roman"/>
          <w:bCs/>
          <w:kern w:val="36"/>
          <w:sz w:val="24"/>
          <w:szCs w:val="24"/>
          <w:lang w:eastAsia="fr-FR"/>
        </w:rPr>
        <w:footnoteReference w:id="3"/>
      </w:r>
      <w:r>
        <w:rPr>
          <w:rFonts w:ascii="Times New Roman" w:eastAsia="Times New Roman" w:hAnsi="Times New Roman" w:cs="Times New Roman"/>
          <w:bCs/>
          <w:kern w:val="36"/>
          <w:sz w:val="24"/>
          <w:szCs w:val="24"/>
          <w:lang w:eastAsia="fr-FR"/>
        </w:rPr>
        <w:t xml:space="preserve">.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Cette recherche s’intéresse </w:t>
      </w:r>
      <w:r>
        <w:rPr>
          <w:rFonts w:ascii="Times New Roman" w:eastAsia="Times New Roman" w:hAnsi="Times New Roman" w:cs="Times New Roman"/>
          <w:bCs/>
          <w:kern w:val="36"/>
          <w:sz w:val="24"/>
          <w:szCs w:val="24"/>
          <w:lang w:eastAsia="fr-FR"/>
        </w:rPr>
        <w:t xml:space="preserve">à la relation entre la performance et la divulgation volontaire d’information (DVI), sociétale et environnementale, dans le secteur bancaire. L’intérêt de cette problématique est multiple : 1/ la DVI extra-financière oriente les flux des investisseurs et </w:t>
      </w:r>
      <w:r>
        <w:rPr>
          <w:rFonts w:ascii="Times New Roman" w:eastAsia="Times New Roman" w:hAnsi="Times New Roman" w:cs="Times New Roman"/>
          <w:bCs/>
          <w:kern w:val="36"/>
          <w:sz w:val="24"/>
          <w:szCs w:val="24"/>
          <w:lang w:eastAsia="fr-FR"/>
        </w:rPr>
        <w:lastRenderedPageBreak/>
        <w:t>possède un réel impact sur la vale</w:t>
      </w:r>
      <w:r w:rsidR="00D87613">
        <w:rPr>
          <w:rFonts w:ascii="Times New Roman" w:eastAsia="Times New Roman" w:hAnsi="Times New Roman" w:cs="Times New Roman"/>
          <w:bCs/>
          <w:kern w:val="36"/>
          <w:sz w:val="24"/>
          <w:szCs w:val="24"/>
          <w:lang w:eastAsia="fr-FR"/>
        </w:rPr>
        <w:t>ur de la firme (</w:t>
      </w:r>
      <w:proofErr w:type="spellStart"/>
      <w:r w:rsidR="00D87613">
        <w:rPr>
          <w:rFonts w:ascii="Times New Roman" w:eastAsia="Times New Roman" w:hAnsi="Times New Roman" w:cs="Times New Roman"/>
          <w:bCs/>
          <w:kern w:val="36"/>
          <w:sz w:val="24"/>
          <w:szCs w:val="24"/>
          <w:lang w:eastAsia="fr-FR"/>
        </w:rPr>
        <w:t>Dhaliwal</w:t>
      </w:r>
      <w:proofErr w:type="spellEnd"/>
      <w:r w:rsidR="00D87613">
        <w:rPr>
          <w:rFonts w:ascii="Times New Roman" w:eastAsia="Times New Roman" w:hAnsi="Times New Roman" w:cs="Times New Roman"/>
          <w:bCs/>
          <w:kern w:val="36"/>
          <w:sz w:val="24"/>
          <w:szCs w:val="24"/>
          <w:lang w:eastAsia="fr-FR"/>
        </w:rPr>
        <w:t xml:space="preserve"> et al.</w:t>
      </w:r>
      <w:r>
        <w:rPr>
          <w:rFonts w:ascii="Times New Roman" w:eastAsia="Times New Roman" w:hAnsi="Times New Roman" w:cs="Times New Roman"/>
          <w:bCs/>
          <w:kern w:val="36"/>
          <w:sz w:val="24"/>
          <w:szCs w:val="24"/>
          <w:lang w:eastAsia="fr-FR"/>
        </w:rPr>
        <w:t xml:space="preserve"> 2011 </w:t>
      </w:r>
      <w:r w:rsidR="00D87613">
        <w:rPr>
          <w:rFonts w:ascii="Times New Roman" w:eastAsia="Times New Roman" w:hAnsi="Times New Roman" w:cs="Times New Roman"/>
          <w:bCs/>
          <w:kern w:val="36"/>
          <w:sz w:val="24"/>
          <w:szCs w:val="24"/>
          <w:lang w:eastAsia="fr-FR"/>
        </w:rPr>
        <w:t xml:space="preserve">; De Villiers et Marques 2016 ; </w:t>
      </w:r>
      <w:r w:rsidR="00DE2CFD">
        <w:rPr>
          <w:rFonts w:ascii="Times New Roman" w:eastAsia="Times New Roman" w:hAnsi="Times New Roman" w:cs="Times New Roman"/>
          <w:bCs/>
          <w:kern w:val="36"/>
          <w:sz w:val="24"/>
          <w:szCs w:val="24"/>
          <w:lang w:eastAsia="fr-FR"/>
        </w:rPr>
        <w:t>D</w:t>
      </w:r>
      <w:r>
        <w:rPr>
          <w:rFonts w:ascii="Times New Roman" w:eastAsia="Times New Roman" w:hAnsi="Times New Roman" w:cs="Times New Roman"/>
          <w:bCs/>
          <w:kern w:val="36"/>
          <w:sz w:val="24"/>
          <w:szCs w:val="24"/>
          <w:lang w:eastAsia="fr-FR"/>
        </w:rPr>
        <w:t xml:space="preserve">e </w:t>
      </w:r>
      <w:r w:rsidR="00D87613">
        <w:rPr>
          <w:rFonts w:ascii="Times New Roman" w:eastAsia="Times New Roman" w:hAnsi="Times New Roman" w:cs="Times New Roman"/>
          <w:bCs/>
          <w:kern w:val="36"/>
          <w:sz w:val="24"/>
          <w:szCs w:val="24"/>
          <w:lang w:eastAsia="fr-FR"/>
        </w:rPr>
        <w:t xml:space="preserve">Séverac et </w:t>
      </w:r>
      <w:proofErr w:type="spellStart"/>
      <w:r w:rsidR="00D87613">
        <w:rPr>
          <w:rFonts w:ascii="Times New Roman" w:eastAsia="Times New Roman" w:hAnsi="Times New Roman" w:cs="Times New Roman"/>
          <w:bCs/>
          <w:kern w:val="36"/>
          <w:sz w:val="24"/>
          <w:szCs w:val="24"/>
          <w:lang w:eastAsia="fr-FR"/>
        </w:rPr>
        <w:t>Guinchard-Nascimento</w:t>
      </w:r>
      <w:proofErr w:type="spellEnd"/>
      <w:r>
        <w:rPr>
          <w:rFonts w:ascii="Times New Roman" w:eastAsia="Times New Roman" w:hAnsi="Times New Roman" w:cs="Times New Roman"/>
          <w:bCs/>
          <w:kern w:val="36"/>
          <w:sz w:val="24"/>
          <w:szCs w:val="24"/>
          <w:lang w:eastAsia="fr-FR"/>
        </w:rPr>
        <w:t xml:space="preserve"> 2018)</w:t>
      </w:r>
      <w:r w:rsidRPr="001845C0">
        <w:rPr>
          <w:rFonts w:ascii="Times New Roman" w:eastAsia="Times New Roman" w:hAnsi="Times New Roman" w:cs="Times New Roman"/>
          <w:bCs/>
          <w:kern w:val="36"/>
          <w:sz w:val="24"/>
          <w:szCs w:val="24"/>
          <w:lang w:eastAsia="fr-FR"/>
        </w:rPr>
        <w:t xml:space="preserve"> ; 2/ </w:t>
      </w:r>
      <w:r>
        <w:rPr>
          <w:rFonts w:ascii="Times New Roman" w:eastAsia="Times New Roman" w:hAnsi="Times New Roman" w:cs="Times New Roman"/>
          <w:bCs/>
          <w:kern w:val="36"/>
          <w:sz w:val="24"/>
          <w:szCs w:val="24"/>
          <w:lang w:eastAsia="fr-FR"/>
        </w:rPr>
        <w:t xml:space="preserve">la fiabilité des données carbone pose question car souvent déclaratives et peu vérifiées et la performance environnementale demeure </w:t>
      </w:r>
      <w:r w:rsidR="00B05B6C">
        <w:rPr>
          <w:rFonts w:ascii="Times New Roman" w:eastAsia="Times New Roman" w:hAnsi="Times New Roman" w:cs="Times New Roman"/>
          <w:bCs/>
          <w:kern w:val="36"/>
          <w:sz w:val="24"/>
          <w:szCs w:val="24"/>
          <w:lang w:eastAsia="fr-FR"/>
        </w:rPr>
        <w:t>complexe</w:t>
      </w:r>
      <w:r w:rsidRPr="001845C0">
        <w:rPr>
          <w:rFonts w:ascii="Times New Roman" w:eastAsia="Times New Roman" w:hAnsi="Times New Roman" w:cs="Times New Roman"/>
          <w:bCs/>
          <w:kern w:val="36"/>
          <w:sz w:val="24"/>
          <w:szCs w:val="24"/>
          <w:lang w:eastAsia="fr-FR"/>
        </w:rPr>
        <w:t xml:space="preserve"> à calculer dans le </w:t>
      </w:r>
      <w:r w:rsidR="00D87613">
        <w:rPr>
          <w:rFonts w:ascii="Times New Roman" w:eastAsia="Times New Roman" w:hAnsi="Times New Roman" w:cs="Times New Roman"/>
          <w:bCs/>
          <w:kern w:val="36"/>
          <w:sz w:val="24"/>
          <w:szCs w:val="24"/>
          <w:lang w:eastAsia="fr-FR"/>
        </w:rPr>
        <w:t>cas des banques (</w:t>
      </w:r>
      <w:proofErr w:type="spellStart"/>
      <w:r w:rsidR="00D87613">
        <w:rPr>
          <w:rFonts w:ascii="Times New Roman" w:eastAsia="Times New Roman" w:hAnsi="Times New Roman" w:cs="Times New Roman"/>
          <w:bCs/>
          <w:kern w:val="36"/>
          <w:sz w:val="24"/>
          <w:szCs w:val="24"/>
          <w:lang w:eastAsia="fr-FR"/>
        </w:rPr>
        <w:t>Gerardi</w:t>
      </w:r>
      <w:proofErr w:type="spellEnd"/>
      <w:r w:rsidR="00D87613">
        <w:rPr>
          <w:rFonts w:ascii="Times New Roman" w:eastAsia="Times New Roman" w:hAnsi="Times New Roman" w:cs="Times New Roman"/>
          <w:bCs/>
          <w:kern w:val="36"/>
          <w:sz w:val="24"/>
          <w:szCs w:val="24"/>
          <w:lang w:eastAsia="fr-FR"/>
        </w:rPr>
        <w:t xml:space="preserve"> et al.</w:t>
      </w:r>
      <w:r w:rsidRPr="001845C0">
        <w:rPr>
          <w:rFonts w:ascii="Times New Roman" w:eastAsia="Times New Roman" w:hAnsi="Times New Roman" w:cs="Times New Roman"/>
          <w:bCs/>
          <w:kern w:val="36"/>
          <w:sz w:val="24"/>
          <w:szCs w:val="24"/>
          <w:lang w:eastAsia="fr-FR"/>
        </w:rPr>
        <w:t xml:space="preserve"> 2015</w:t>
      </w:r>
      <w:r w:rsidR="00D87613">
        <w:rPr>
          <w:rFonts w:ascii="Times New Roman" w:eastAsia="Times New Roman" w:hAnsi="Times New Roman" w:cs="Times New Roman"/>
          <w:bCs/>
          <w:kern w:val="36"/>
          <w:sz w:val="24"/>
          <w:szCs w:val="24"/>
          <w:lang w:eastAsia="fr-FR"/>
        </w:rPr>
        <w:t xml:space="preserve"> ; </w:t>
      </w:r>
      <w:proofErr w:type="spellStart"/>
      <w:r w:rsidR="00D87613">
        <w:rPr>
          <w:rFonts w:ascii="Times New Roman" w:eastAsia="Times New Roman" w:hAnsi="Times New Roman" w:cs="Times New Roman"/>
          <w:bCs/>
          <w:kern w:val="36"/>
          <w:sz w:val="24"/>
          <w:szCs w:val="24"/>
          <w:lang w:eastAsia="fr-FR"/>
        </w:rPr>
        <w:t>Teubler</w:t>
      </w:r>
      <w:proofErr w:type="spellEnd"/>
      <w:r w:rsidR="00D87613">
        <w:rPr>
          <w:rFonts w:ascii="Times New Roman" w:eastAsia="Times New Roman" w:hAnsi="Times New Roman" w:cs="Times New Roman"/>
          <w:bCs/>
          <w:kern w:val="36"/>
          <w:sz w:val="24"/>
          <w:szCs w:val="24"/>
          <w:lang w:eastAsia="fr-FR"/>
        </w:rPr>
        <w:t xml:space="preserve"> et </w:t>
      </w:r>
      <w:proofErr w:type="spellStart"/>
      <w:r w:rsidR="00D87613">
        <w:rPr>
          <w:rFonts w:ascii="Times New Roman" w:eastAsia="Times New Roman" w:hAnsi="Times New Roman" w:cs="Times New Roman"/>
          <w:bCs/>
          <w:kern w:val="36"/>
          <w:sz w:val="24"/>
          <w:szCs w:val="24"/>
          <w:lang w:eastAsia="fr-FR"/>
        </w:rPr>
        <w:t>Kühlert</w:t>
      </w:r>
      <w:proofErr w:type="spellEnd"/>
      <w:r w:rsidR="00D87613">
        <w:rPr>
          <w:rFonts w:ascii="Times New Roman" w:eastAsia="Times New Roman" w:hAnsi="Times New Roman" w:cs="Times New Roman"/>
          <w:bCs/>
          <w:kern w:val="36"/>
          <w:sz w:val="24"/>
          <w:szCs w:val="24"/>
          <w:lang w:eastAsia="fr-FR"/>
        </w:rPr>
        <w:t xml:space="preserve"> 2020</w:t>
      </w:r>
      <w:r w:rsidRPr="001845C0">
        <w:rPr>
          <w:rFonts w:ascii="Times New Roman" w:eastAsia="Times New Roman" w:hAnsi="Times New Roman" w:cs="Times New Roman"/>
          <w:bCs/>
          <w:kern w:val="36"/>
          <w:sz w:val="24"/>
          <w:szCs w:val="24"/>
          <w:lang w:eastAsia="fr-FR"/>
        </w:rPr>
        <w:t xml:space="preserve">) ; 3/ </w:t>
      </w:r>
      <w:r>
        <w:rPr>
          <w:rFonts w:ascii="Times New Roman" w:eastAsia="Times New Roman" w:hAnsi="Times New Roman" w:cs="Times New Roman"/>
          <w:bCs/>
          <w:kern w:val="36"/>
          <w:sz w:val="24"/>
          <w:szCs w:val="24"/>
          <w:lang w:eastAsia="fr-FR"/>
        </w:rPr>
        <w:t>un décalage semble exister entre les stratégies de</w:t>
      </w:r>
      <w:r w:rsidR="00B05B6C">
        <w:rPr>
          <w:rFonts w:ascii="Times New Roman" w:eastAsia="Times New Roman" w:hAnsi="Times New Roman" w:cs="Times New Roman"/>
          <w:bCs/>
          <w:kern w:val="36"/>
          <w:sz w:val="24"/>
          <w:szCs w:val="24"/>
          <w:lang w:eastAsia="fr-FR"/>
        </w:rPr>
        <w:t xml:space="preserve"> communication environnementale</w:t>
      </w:r>
      <w:r>
        <w:rPr>
          <w:rFonts w:ascii="Times New Roman" w:eastAsia="Times New Roman" w:hAnsi="Times New Roman" w:cs="Times New Roman"/>
          <w:bCs/>
          <w:kern w:val="36"/>
          <w:sz w:val="24"/>
          <w:szCs w:val="24"/>
          <w:lang w:eastAsia="fr-FR"/>
        </w:rPr>
        <w:t xml:space="preserve"> des banques et la réalité de leurs performances actuelles.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Les hypothèses liées à l’influence</w:t>
      </w:r>
      <w:r w:rsidRPr="001845C0">
        <w:rPr>
          <w:rFonts w:ascii="Times New Roman" w:eastAsia="Times New Roman" w:hAnsi="Times New Roman" w:cs="Times New Roman"/>
          <w:bCs/>
          <w:kern w:val="36"/>
          <w:sz w:val="24"/>
          <w:szCs w:val="24"/>
          <w:lang w:eastAsia="fr-FR"/>
        </w:rPr>
        <w:t xml:space="preserve"> de l</w:t>
      </w:r>
      <w:r>
        <w:rPr>
          <w:rFonts w:ascii="Times New Roman" w:eastAsia="Times New Roman" w:hAnsi="Times New Roman" w:cs="Times New Roman"/>
          <w:bCs/>
          <w:kern w:val="36"/>
          <w:sz w:val="24"/>
          <w:szCs w:val="24"/>
          <w:lang w:eastAsia="fr-FR"/>
        </w:rPr>
        <w:t>a performance</w:t>
      </w:r>
      <w:r w:rsidRPr="001845C0">
        <w:rPr>
          <w:rFonts w:ascii="Times New Roman" w:eastAsia="Times New Roman" w:hAnsi="Times New Roman" w:cs="Times New Roman"/>
          <w:bCs/>
          <w:kern w:val="36"/>
          <w:sz w:val="24"/>
          <w:szCs w:val="24"/>
          <w:lang w:eastAsia="fr-FR"/>
        </w:rPr>
        <w:t xml:space="preserve"> sur la DVI sont issues principalement de la théorie du signal (</w:t>
      </w:r>
      <w:proofErr w:type="spellStart"/>
      <w:r w:rsidR="00497ED6">
        <w:rPr>
          <w:rFonts w:ascii="Times New Roman" w:eastAsia="Times New Roman" w:hAnsi="Times New Roman" w:cs="Times New Roman"/>
          <w:bCs/>
          <w:kern w:val="36"/>
          <w:sz w:val="24"/>
          <w:szCs w:val="24"/>
          <w:lang w:eastAsia="fr-FR"/>
        </w:rPr>
        <w:t>Akerlof</w:t>
      </w:r>
      <w:proofErr w:type="spellEnd"/>
      <w:r w:rsidRPr="00DC4504">
        <w:rPr>
          <w:rFonts w:ascii="Times New Roman" w:eastAsia="Times New Roman" w:hAnsi="Times New Roman" w:cs="Times New Roman"/>
          <w:bCs/>
          <w:kern w:val="36"/>
          <w:sz w:val="24"/>
          <w:szCs w:val="24"/>
          <w:lang w:eastAsia="fr-FR"/>
        </w:rPr>
        <w:t xml:space="preserve"> 1970 </w:t>
      </w:r>
      <w:r>
        <w:rPr>
          <w:rFonts w:ascii="Times New Roman" w:eastAsia="Times New Roman" w:hAnsi="Times New Roman" w:cs="Times New Roman"/>
          <w:bCs/>
          <w:kern w:val="36"/>
          <w:sz w:val="24"/>
          <w:szCs w:val="24"/>
          <w:lang w:eastAsia="fr-FR"/>
        </w:rPr>
        <w:t xml:space="preserve">; </w:t>
      </w:r>
      <w:proofErr w:type="spellStart"/>
      <w:r w:rsidRPr="001845C0">
        <w:rPr>
          <w:rFonts w:ascii="Times New Roman" w:eastAsia="Times New Roman" w:hAnsi="Times New Roman" w:cs="Times New Roman"/>
          <w:bCs/>
          <w:kern w:val="36"/>
          <w:sz w:val="24"/>
          <w:szCs w:val="24"/>
          <w:lang w:eastAsia="fr-FR"/>
        </w:rPr>
        <w:t>Cla</w:t>
      </w:r>
      <w:r>
        <w:rPr>
          <w:rFonts w:ascii="Times New Roman" w:eastAsia="Times New Roman" w:hAnsi="Times New Roman" w:cs="Times New Roman"/>
          <w:bCs/>
          <w:kern w:val="36"/>
          <w:sz w:val="24"/>
          <w:szCs w:val="24"/>
          <w:lang w:eastAsia="fr-FR"/>
        </w:rPr>
        <w:t>r</w:t>
      </w:r>
      <w:r w:rsidR="00260CF1">
        <w:rPr>
          <w:rFonts w:ascii="Times New Roman" w:eastAsia="Times New Roman" w:hAnsi="Times New Roman" w:cs="Times New Roman"/>
          <w:bCs/>
          <w:kern w:val="36"/>
          <w:sz w:val="24"/>
          <w:szCs w:val="24"/>
          <w:lang w:eastAsia="fr-FR"/>
        </w:rPr>
        <w:t>kson</w:t>
      </w:r>
      <w:proofErr w:type="spellEnd"/>
      <w:r w:rsidR="00260CF1">
        <w:rPr>
          <w:rFonts w:ascii="Times New Roman" w:eastAsia="Times New Roman" w:hAnsi="Times New Roman" w:cs="Times New Roman"/>
          <w:bCs/>
          <w:kern w:val="36"/>
          <w:sz w:val="24"/>
          <w:szCs w:val="24"/>
          <w:lang w:eastAsia="fr-FR"/>
        </w:rPr>
        <w:t xml:space="preserve"> et al.</w:t>
      </w:r>
      <w:r w:rsidRPr="001845C0">
        <w:rPr>
          <w:rFonts w:ascii="Times New Roman" w:eastAsia="Times New Roman" w:hAnsi="Times New Roman" w:cs="Times New Roman"/>
          <w:bCs/>
          <w:kern w:val="36"/>
          <w:sz w:val="24"/>
          <w:szCs w:val="24"/>
          <w:lang w:eastAsia="fr-FR"/>
        </w:rPr>
        <w:t xml:space="preserve"> 2008) et de la théori</w:t>
      </w:r>
      <w:r>
        <w:rPr>
          <w:rFonts w:ascii="Times New Roman" w:eastAsia="Times New Roman" w:hAnsi="Times New Roman" w:cs="Times New Roman"/>
          <w:bCs/>
          <w:kern w:val="36"/>
          <w:sz w:val="24"/>
          <w:szCs w:val="24"/>
          <w:lang w:eastAsia="fr-FR"/>
        </w:rPr>
        <w:t>e de la légitimité (</w:t>
      </w:r>
      <w:r w:rsidR="00260CF1">
        <w:rPr>
          <w:rFonts w:ascii="Times New Roman" w:eastAsia="Times New Roman" w:hAnsi="Times New Roman" w:cs="Times New Roman"/>
          <w:bCs/>
          <w:kern w:val="36"/>
          <w:sz w:val="24"/>
          <w:szCs w:val="24"/>
          <w:lang w:eastAsia="fr-FR"/>
        </w:rPr>
        <w:t xml:space="preserve">Patten 1992 ; </w:t>
      </w:r>
      <w:proofErr w:type="spellStart"/>
      <w:r w:rsidR="00260CF1">
        <w:rPr>
          <w:rFonts w:ascii="Times New Roman" w:eastAsia="Times New Roman" w:hAnsi="Times New Roman" w:cs="Times New Roman"/>
          <w:bCs/>
          <w:kern w:val="36"/>
          <w:sz w:val="24"/>
          <w:szCs w:val="24"/>
          <w:lang w:eastAsia="fr-FR"/>
        </w:rPr>
        <w:t>Suchman</w:t>
      </w:r>
      <w:proofErr w:type="spellEnd"/>
      <w:r w:rsidR="00260CF1">
        <w:rPr>
          <w:rFonts w:ascii="Times New Roman" w:eastAsia="Times New Roman" w:hAnsi="Times New Roman" w:cs="Times New Roman"/>
          <w:bCs/>
          <w:kern w:val="36"/>
          <w:sz w:val="24"/>
          <w:szCs w:val="24"/>
          <w:lang w:eastAsia="fr-FR"/>
        </w:rPr>
        <w:t xml:space="preserve"> 1995</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L’hypothèse du signal prévoit que les banques aux</w:t>
      </w:r>
      <w:r>
        <w:rPr>
          <w:rFonts w:ascii="Times New Roman" w:eastAsia="Times New Roman" w:hAnsi="Times New Roman" w:cs="Times New Roman"/>
          <w:bCs/>
          <w:kern w:val="36"/>
          <w:sz w:val="24"/>
          <w:szCs w:val="24"/>
          <w:lang w:eastAsia="fr-FR"/>
        </w:rPr>
        <w:t xml:space="preserve"> performances </w:t>
      </w:r>
      <w:r w:rsidRPr="001845C0">
        <w:rPr>
          <w:rFonts w:ascii="Times New Roman" w:eastAsia="Times New Roman" w:hAnsi="Times New Roman" w:cs="Times New Roman"/>
          <w:bCs/>
          <w:kern w:val="36"/>
          <w:sz w:val="24"/>
          <w:szCs w:val="24"/>
          <w:lang w:eastAsia="fr-FR"/>
        </w:rPr>
        <w:t>élevées souhaitent se démarquer des autres en accentuant la DVI, quantitativement et qualitativement. S</w:t>
      </w:r>
      <w:r>
        <w:rPr>
          <w:rFonts w:ascii="Times New Roman" w:eastAsia="Times New Roman" w:hAnsi="Times New Roman" w:cs="Times New Roman"/>
          <w:bCs/>
          <w:kern w:val="36"/>
          <w:sz w:val="24"/>
          <w:szCs w:val="24"/>
          <w:lang w:eastAsia="fr-FR"/>
        </w:rPr>
        <w:t>ymétriquement, les banques peu</w:t>
      </w:r>
      <w:r w:rsidRPr="001845C0">
        <w:rPr>
          <w:rFonts w:ascii="Times New Roman" w:eastAsia="Times New Roman" w:hAnsi="Times New Roman" w:cs="Times New Roman"/>
          <w:bCs/>
          <w:kern w:val="36"/>
          <w:sz w:val="24"/>
          <w:szCs w:val="24"/>
          <w:lang w:eastAsia="fr-FR"/>
        </w:rPr>
        <w:t xml:space="preserve"> vertueuses communiqueront moins et ne feront qu’accroître l’asymétrie d’information. Actant l’existence d’un contrat social entre la banque et la société dans son ensemble, l’hypothèse de la légitimité prévoit quant à elle </w:t>
      </w:r>
      <w:r>
        <w:rPr>
          <w:rFonts w:ascii="Times New Roman" w:eastAsia="Times New Roman" w:hAnsi="Times New Roman" w:cs="Times New Roman"/>
          <w:bCs/>
          <w:kern w:val="36"/>
          <w:sz w:val="24"/>
          <w:szCs w:val="24"/>
          <w:lang w:eastAsia="fr-FR"/>
        </w:rPr>
        <w:t>que la DVI puisse servir à rétablir, maintenir ou améliorer le degré de légitimité des activités de la firme</w:t>
      </w:r>
      <w:r w:rsidRPr="001845C0">
        <w:rPr>
          <w:rFonts w:ascii="Times New Roman" w:eastAsia="Times New Roman" w:hAnsi="Times New Roman" w:cs="Times New Roman"/>
          <w:bCs/>
          <w:kern w:val="36"/>
          <w:sz w:val="24"/>
          <w:szCs w:val="24"/>
          <w:lang w:eastAsia="fr-FR"/>
        </w:rPr>
        <w:t>. Des secte</w:t>
      </w:r>
      <w:r>
        <w:rPr>
          <w:rFonts w:ascii="Times New Roman" w:eastAsia="Times New Roman" w:hAnsi="Times New Roman" w:cs="Times New Roman"/>
          <w:bCs/>
          <w:kern w:val="36"/>
          <w:sz w:val="24"/>
          <w:szCs w:val="24"/>
          <w:lang w:eastAsia="fr-FR"/>
        </w:rPr>
        <w:t>urs très polluants feraient</w:t>
      </w:r>
      <w:r w:rsidRPr="001845C0">
        <w:rPr>
          <w:rFonts w:ascii="Times New Roman" w:eastAsia="Times New Roman" w:hAnsi="Times New Roman" w:cs="Times New Roman"/>
          <w:bCs/>
          <w:kern w:val="36"/>
          <w:sz w:val="24"/>
          <w:szCs w:val="24"/>
          <w:lang w:eastAsia="fr-FR"/>
        </w:rPr>
        <w:t xml:space="preserve"> le choix d’augmenter le volume voire la qualité de le</w:t>
      </w:r>
      <w:r>
        <w:rPr>
          <w:rFonts w:ascii="Times New Roman" w:eastAsia="Times New Roman" w:hAnsi="Times New Roman" w:cs="Times New Roman"/>
          <w:bCs/>
          <w:kern w:val="36"/>
          <w:sz w:val="24"/>
          <w:szCs w:val="24"/>
          <w:lang w:eastAsia="fr-FR"/>
        </w:rPr>
        <w:t>ur information</w:t>
      </w:r>
      <w:r w:rsidRPr="001845C0">
        <w:rPr>
          <w:rFonts w:ascii="Times New Roman" w:eastAsia="Times New Roman" w:hAnsi="Times New Roman" w:cs="Times New Roman"/>
          <w:bCs/>
          <w:kern w:val="36"/>
          <w:sz w:val="24"/>
          <w:szCs w:val="24"/>
          <w:lang w:eastAsia="fr-FR"/>
        </w:rPr>
        <w:t xml:space="preserve"> et </w:t>
      </w:r>
      <w:r>
        <w:rPr>
          <w:rFonts w:ascii="Times New Roman" w:eastAsia="Times New Roman" w:hAnsi="Times New Roman" w:cs="Times New Roman"/>
          <w:bCs/>
          <w:kern w:val="36"/>
          <w:sz w:val="24"/>
          <w:szCs w:val="24"/>
          <w:lang w:eastAsia="fr-FR"/>
        </w:rPr>
        <w:t xml:space="preserve">de </w:t>
      </w:r>
      <w:r w:rsidRPr="001845C0">
        <w:rPr>
          <w:rFonts w:ascii="Times New Roman" w:eastAsia="Times New Roman" w:hAnsi="Times New Roman" w:cs="Times New Roman"/>
          <w:bCs/>
          <w:kern w:val="36"/>
          <w:sz w:val="24"/>
          <w:szCs w:val="24"/>
          <w:lang w:eastAsia="fr-FR"/>
        </w:rPr>
        <w:t>brouiller le signal émis pour répondre aux attentes sociétales (</w:t>
      </w:r>
      <w:proofErr w:type="spellStart"/>
      <w:r w:rsidRPr="001845C0">
        <w:rPr>
          <w:rFonts w:ascii="Times New Roman" w:eastAsia="Times New Roman" w:hAnsi="Times New Roman" w:cs="Times New Roman"/>
          <w:bCs/>
          <w:kern w:val="36"/>
          <w:sz w:val="24"/>
          <w:szCs w:val="24"/>
          <w:lang w:eastAsia="fr-FR"/>
        </w:rPr>
        <w:t>Bui</w:t>
      </w:r>
      <w:proofErr w:type="spellEnd"/>
      <w:r>
        <w:rPr>
          <w:rFonts w:ascii="Times New Roman" w:eastAsia="Times New Roman" w:hAnsi="Times New Roman" w:cs="Times New Roman"/>
          <w:bCs/>
          <w:kern w:val="36"/>
          <w:sz w:val="24"/>
          <w:szCs w:val="24"/>
          <w:lang w:eastAsia="fr-FR"/>
        </w:rPr>
        <w:t xml:space="preserve"> et al.</w:t>
      </w:r>
      <w:r w:rsidRPr="001845C0">
        <w:rPr>
          <w:rFonts w:ascii="Times New Roman" w:eastAsia="Times New Roman" w:hAnsi="Times New Roman" w:cs="Times New Roman"/>
          <w:bCs/>
          <w:kern w:val="36"/>
          <w:sz w:val="24"/>
          <w:szCs w:val="24"/>
          <w:lang w:eastAsia="fr-FR"/>
        </w:rPr>
        <w:t xml:space="preserve"> 2020). Les deux champs théoriques prédisent </w:t>
      </w:r>
      <w:r>
        <w:rPr>
          <w:rFonts w:ascii="Times New Roman" w:eastAsia="Times New Roman" w:hAnsi="Times New Roman" w:cs="Times New Roman"/>
          <w:bCs/>
          <w:kern w:val="36"/>
          <w:sz w:val="24"/>
          <w:szCs w:val="24"/>
          <w:lang w:eastAsia="fr-FR"/>
        </w:rPr>
        <w:t xml:space="preserve">donc </w:t>
      </w:r>
      <w:r w:rsidRPr="001845C0">
        <w:rPr>
          <w:rFonts w:ascii="Times New Roman" w:eastAsia="Times New Roman" w:hAnsi="Times New Roman" w:cs="Times New Roman"/>
          <w:bCs/>
          <w:kern w:val="36"/>
          <w:sz w:val="24"/>
          <w:szCs w:val="24"/>
          <w:lang w:eastAsia="fr-FR"/>
        </w:rPr>
        <w:t>des sens opposés pour la relation entre perfo</w:t>
      </w:r>
      <w:r w:rsidR="00FF58F3">
        <w:rPr>
          <w:rFonts w:ascii="Times New Roman" w:eastAsia="Times New Roman" w:hAnsi="Times New Roman" w:cs="Times New Roman"/>
          <w:bCs/>
          <w:kern w:val="36"/>
          <w:sz w:val="24"/>
          <w:szCs w:val="24"/>
          <w:lang w:eastAsia="fr-FR"/>
        </w:rPr>
        <w:t xml:space="preserve">rmance environnementale et DVI extra-financière </w:t>
      </w:r>
      <w:r>
        <w:rPr>
          <w:rFonts w:ascii="Times New Roman" w:eastAsia="Times New Roman" w:hAnsi="Times New Roman" w:cs="Times New Roman"/>
          <w:bCs/>
          <w:kern w:val="36"/>
          <w:sz w:val="24"/>
          <w:szCs w:val="24"/>
          <w:lang w:eastAsia="fr-FR"/>
        </w:rPr>
        <w:t>: relation positive pour le signal, négative pour la légitimité.</w:t>
      </w:r>
    </w:p>
    <w:p w:rsidR="00EB3251" w:rsidRPr="00662DDC"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 xml:space="preserve">Les caractéristiques spécifiques des banques (poids dans l’économie réelle, réputation à restaurer, internationalisation, multiplicité des parties prenantes, exposition médiatique, visibilité sur </w:t>
      </w:r>
      <w:r w:rsidR="00FF58F3">
        <w:rPr>
          <w:rFonts w:ascii="Times New Roman" w:eastAsia="Times New Roman" w:hAnsi="Times New Roman" w:cs="Times New Roman"/>
          <w:bCs/>
          <w:kern w:val="36"/>
          <w:sz w:val="24"/>
          <w:szCs w:val="24"/>
          <w:lang w:eastAsia="fr-FR"/>
        </w:rPr>
        <w:t>les marchés) tendent à souligner</w:t>
      </w:r>
      <w:r>
        <w:rPr>
          <w:rFonts w:ascii="Times New Roman" w:eastAsia="Times New Roman" w:hAnsi="Times New Roman" w:cs="Times New Roman"/>
          <w:bCs/>
          <w:kern w:val="36"/>
          <w:sz w:val="24"/>
          <w:szCs w:val="24"/>
          <w:lang w:eastAsia="fr-FR"/>
        </w:rPr>
        <w:t xml:space="preserve"> leur besoin de légitimité. </w:t>
      </w:r>
      <w:r w:rsidRPr="001845C0">
        <w:rPr>
          <w:rFonts w:ascii="Times New Roman" w:eastAsia="Times New Roman" w:hAnsi="Times New Roman" w:cs="Times New Roman"/>
          <w:bCs/>
          <w:kern w:val="36"/>
          <w:sz w:val="24"/>
          <w:szCs w:val="24"/>
          <w:lang w:eastAsia="fr-FR"/>
        </w:rPr>
        <w:t>A partir d’un échantillon de 35 banques internationales issu du rapport RAN sur la période 2016-2019 (140 observations</w:t>
      </w:r>
      <w:r>
        <w:rPr>
          <w:rFonts w:ascii="Times New Roman" w:eastAsia="Times New Roman" w:hAnsi="Times New Roman" w:cs="Times New Roman"/>
          <w:bCs/>
          <w:kern w:val="36"/>
          <w:sz w:val="24"/>
          <w:szCs w:val="24"/>
          <w:lang w:eastAsia="fr-FR"/>
        </w:rPr>
        <w:t xml:space="preserve"> en données de panel</w:t>
      </w:r>
      <w:r w:rsidRPr="001845C0">
        <w:rPr>
          <w:rFonts w:ascii="Times New Roman" w:eastAsia="Times New Roman" w:hAnsi="Times New Roman" w:cs="Times New Roman"/>
          <w:bCs/>
          <w:kern w:val="36"/>
          <w:sz w:val="24"/>
          <w:szCs w:val="24"/>
          <w:lang w:eastAsia="fr-FR"/>
        </w:rPr>
        <w:t>), l’impact de l’empreinte carbone</w:t>
      </w:r>
      <w:r>
        <w:rPr>
          <w:rFonts w:ascii="Times New Roman" w:eastAsia="Times New Roman" w:hAnsi="Times New Roman" w:cs="Times New Roman"/>
          <w:bCs/>
          <w:kern w:val="36"/>
          <w:sz w:val="24"/>
          <w:szCs w:val="24"/>
          <w:lang w:eastAsia="fr-FR"/>
        </w:rPr>
        <w:t xml:space="preserve"> des banques sur la DVI </w:t>
      </w:r>
      <w:r w:rsidRPr="001845C0">
        <w:rPr>
          <w:rFonts w:ascii="Times New Roman" w:eastAsia="Times New Roman" w:hAnsi="Times New Roman" w:cs="Times New Roman"/>
          <w:bCs/>
          <w:kern w:val="36"/>
          <w:sz w:val="24"/>
          <w:szCs w:val="24"/>
          <w:lang w:eastAsia="fr-FR"/>
        </w:rPr>
        <w:t xml:space="preserve">est analysé. </w:t>
      </w:r>
      <w:r w:rsidR="00FF58F3">
        <w:rPr>
          <w:rFonts w:ascii="Times New Roman" w:eastAsia="Times New Roman" w:hAnsi="Times New Roman" w:cs="Times New Roman"/>
          <w:bCs/>
          <w:kern w:val="36"/>
          <w:sz w:val="24"/>
          <w:szCs w:val="24"/>
          <w:lang w:eastAsia="fr-FR"/>
        </w:rPr>
        <w:t xml:space="preserve">La </w:t>
      </w:r>
      <w:r w:rsidR="00FF58F3">
        <w:rPr>
          <w:rFonts w:ascii="Times New Roman" w:eastAsia="Times New Roman" w:hAnsi="Times New Roman" w:cs="Times New Roman"/>
          <w:bCs/>
          <w:kern w:val="36"/>
          <w:sz w:val="24"/>
          <w:szCs w:val="24"/>
          <w:lang w:eastAsia="fr-FR"/>
        </w:rPr>
        <w:lastRenderedPageBreak/>
        <w:t>performance environnementale</w:t>
      </w:r>
      <w:r w:rsidRPr="001845C0">
        <w:rPr>
          <w:rFonts w:ascii="Times New Roman" w:eastAsia="Times New Roman" w:hAnsi="Times New Roman" w:cs="Times New Roman"/>
          <w:bCs/>
          <w:kern w:val="36"/>
          <w:sz w:val="24"/>
          <w:szCs w:val="24"/>
          <w:lang w:eastAsia="fr-FR"/>
        </w:rPr>
        <w:t xml:space="preserve"> est appréciée à l’aune des financements accordés aux entreprises des filières des énergies fossiles (pétrole, gaz et charbon). La DVI est estimée grâce aux enga</w:t>
      </w:r>
      <w:r w:rsidR="00B05B6C">
        <w:rPr>
          <w:rFonts w:ascii="Times New Roman" w:eastAsia="Times New Roman" w:hAnsi="Times New Roman" w:cs="Times New Roman"/>
          <w:bCs/>
          <w:kern w:val="36"/>
          <w:sz w:val="24"/>
          <w:szCs w:val="24"/>
          <w:lang w:eastAsia="fr-FR"/>
        </w:rPr>
        <w:t>gements sociétaux et environnementaux</w:t>
      </w:r>
      <w:r w:rsidRPr="001845C0">
        <w:rPr>
          <w:rFonts w:ascii="Times New Roman" w:eastAsia="Times New Roman" w:hAnsi="Times New Roman" w:cs="Times New Roman"/>
          <w:bCs/>
          <w:kern w:val="36"/>
          <w:sz w:val="24"/>
          <w:szCs w:val="24"/>
          <w:lang w:eastAsia="fr-FR"/>
        </w:rPr>
        <w:t xml:space="preserve"> communiqués par les banques via leurs sites internet (source </w:t>
      </w:r>
      <w:proofErr w:type="spellStart"/>
      <w:r w:rsidRPr="00B05B6C">
        <w:rPr>
          <w:rFonts w:ascii="Times New Roman" w:eastAsia="Times New Roman" w:hAnsi="Times New Roman" w:cs="Times New Roman"/>
          <w:bCs/>
          <w:i/>
          <w:kern w:val="36"/>
          <w:sz w:val="24"/>
          <w:szCs w:val="24"/>
          <w:lang w:eastAsia="fr-FR"/>
        </w:rPr>
        <w:t>BankTrack</w:t>
      </w:r>
      <w:proofErr w:type="spellEnd"/>
      <w:r w:rsidRPr="001845C0">
        <w:rPr>
          <w:rFonts w:ascii="Times New Roman" w:eastAsia="Times New Roman" w:hAnsi="Times New Roman" w:cs="Times New Roman"/>
          <w:bCs/>
          <w:kern w:val="36"/>
          <w:sz w:val="24"/>
          <w:szCs w:val="24"/>
          <w:lang w:eastAsia="fr-FR"/>
        </w:rPr>
        <w:t>, indicateurs plutôt quantitatifs) et à des scores déduits des rappor</w:t>
      </w:r>
      <w:r w:rsidR="00B05B6C">
        <w:rPr>
          <w:rFonts w:ascii="Times New Roman" w:eastAsia="Times New Roman" w:hAnsi="Times New Roman" w:cs="Times New Roman"/>
          <w:bCs/>
          <w:kern w:val="36"/>
          <w:sz w:val="24"/>
          <w:szCs w:val="24"/>
          <w:lang w:eastAsia="fr-FR"/>
        </w:rPr>
        <w:t xml:space="preserve">ts </w:t>
      </w:r>
      <w:r w:rsidR="00B05B6C" w:rsidRPr="00B05B6C">
        <w:rPr>
          <w:rFonts w:ascii="Times New Roman" w:eastAsia="Times New Roman" w:hAnsi="Times New Roman" w:cs="Times New Roman"/>
          <w:bCs/>
          <w:i/>
          <w:kern w:val="36"/>
          <w:sz w:val="24"/>
          <w:szCs w:val="24"/>
          <w:lang w:eastAsia="fr-FR"/>
        </w:rPr>
        <w:t xml:space="preserve">Global </w:t>
      </w:r>
      <w:proofErr w:type="spellStart"/>
      <w:r w:rsidR="00B05B6C" w:rsidRPr="00B05B6C">
        <w:rPr>
          <w:rFonts w:ascii="Times New Roman" w:eastAsia="Times New Roman" w:hAnsi="Times New Roman" w:cs="Times New Roman"/>
          <w:bCs/>
          <w:i/>
          <w:kern w:val="36"/>
          <w:sz w:val="24"/>
          <w:szCs w:val="24"/>
          <w:lang w:eastAsia="fr-FR"/>
        </w:rPr>
        <w:t>Reporting</w:t>
      </w:r>
      <w:proofErr w:type="spellEnd"/>
      <w:r w:rsidR="00B05B6C" w:rsidRPr="00B05B6C">
        <w:rPr>
          <w:rFonts w:ascii="Times New Roman" w:eastAsia="Times New Roman" w:hAnsi="Times New Roman" w:cs="Times New Roman"/>
          <w:bCs/>
          <w:i/>
          <w:kern w:val="36"/>
          <w:sz w:val="24"/>
          <w:szCs w:val="24"/>
          <w:lang w:eastAsia="fr-FR"/>
        </w:rPr>
        <w:t xml:space="preserve"> Initiative</w:t>
      </w:r>
      <w:r w:rsidR="00260CF1">
        <w:rPr>
          <w:rFonts w:ascii="Times New Roman" w:eastAsia="Times New Roman" w:hAnsi="Times New Roman" w:cs="Times New Roman"/>
          <w:bCs/>
          <w:kern w:val="36"/>
          <w:sz w:val="24"/>
          <w:szCs w:val="24"/>
          <w:lang w:eastAsia="fr-FR"/>
        </w:rPr>
        <w:t xml:space="preserve"> GRI,</w:t>
      </w:r>
      <w:r w:rsidRPr="001845C0">
        <w:rPr>
          <w:rFonts w:ascii="Times New Roman" w:eastAsia="Times New Roman" w:hAnsi="Times New Roman" w:cs="Times New Roman"/>
          <w:bCs/>
          <w:kern w:val="36"/>
          <w:sz w:val="24"/>
          <w:szCs w:val="24"/>
          <w:lang w:eastAsia="fr-FR"/>
        </w:rPr>
        <w:t xml:space="preserve"> et </w:t>
      </w:r>
      <w:proofErr w:type="spellStart"/>
      <w:r w:rsidR="00B05B6C" w:rsidRPr="00B05B6C">
        <w:rPr>
          <w:rFonts w:ascii="Times New Roman" w:eastAsia="Times New Roman" w:hAnsi="Times New Roman" w:cs="Times New Roman"/>
          <w:bCs/>
          <w:i/>
          <w:kern w:val="36"/>
          <w:sz w:val="24"/>
          <w:szCs w:val="24"/>
          <w:lang w:eastAsia="fr-FR"/>
        </w:rPr>
        <w:t>Carbon</w:t>
      </w:r>
      <w:proofErr w:type="spellEnd"/>
      <w:r w:rsidR="00B05B6C" w:rsidRPr="00B05B6C">
        <w:rPr>
          <w:rFonts w:ascii="Times New Roman" w:eastAsia="Times New Roman" w:hAnsi="Times New Roman" w:cs="Times New Roman"/>
          <w:bCs/>
          <w:i/>
          <w:kern w:val="36"/>
          <w:sz w:val="24"/>
          <w:szCs w:val="24"/>
          <w:lang w:eastAsia="fr-FR"/>
        </w:rPr>
        <w:t xml:space="preserve"> </w:t>
      </w:r>
      <w:proofErr w:type="spellStart"/>
      <w:r w:rsidR="00B05B6C" w:rsidRPr="00B05B6C">
        <w:rPr>
          <w:rFonts w:ascii="Times New Roman" w:eastAsia="Times New Roman" w:hAnsi="Times New Roman" w:cs="Times New Roman"/>
          <w:bCs/>
          <w:i/>
          <w:kern w:val="36"/>
          <w:sz w:val="24"/>
          <w:szCs w:val="24"/>
          <w:lang w:eastAsia="fr-FR"/>
        </w:rPr>
        <w:t>Disclosure</w:t>
      </w:r>
      <w:proofErr w:type="spellEnd"/>
      <w:r w:rsidR="00B05B6C" w:rsidRPr="00B05B6C">
        <w:rPr>
          <w:rFonts w:ascii="Times New Roman" w:eastAsia="Times New Roman" w:hAnsi="Times New Roman" w:cs="Times New Roman"/>
          <w:bCs/>
          <w:i/>
          <w:kern w:val="36"/>
          <w:sz w:val="24"/>
          <w:szCs w:val="24"/>
          <w:lang w:eastAsia="fr-FR"/>
        </w:rPr>
        <w:t xml:space="preserve"> Project</w:t>
      </w:r>
      <w:r w:rsidR="00B05B6C">
        <w:rPr>
          <w:rFonts w:ascii="Times New Roman" w:eastAsia="Times New Roman" w:hAnsi="Times New Roman" w:cs="Times New Roman"/>
          <w:bCs/>
          <w:kern w:val="36"/>
          <w:sz w:val="24"/>
          <w:szCs w:val="24"/>
          <w:lang w:eastAsia="fr-FR"/>
        </w:rPr>
        <w:t xml:space="preserve"> </w:t>
      </w:r>
      <w:r w:rsidR="00260CF1">
        <w:rPr>
          <w:rFonts w:ascii="Times New Roman" w:eastAsia="Times New Roman" w:hAnsi="Times New Roman" w:cs="Times New Roman"/>
          <w:bCs/>
          <w:kern w:val="36"/>
          <w:sz w:val="24"/>
          <w:szCs w:val="24"/>
          <w:lang w:eastAsia="fr-FR"/>
        </w:rPr>
        <w:t>CDP,</w:t>
      </w:r>
      <w:r w:rsidRPr="001845C0">
        <w:rPr>
          <w:rFonts w:ascii="Times New Roman" w:eastAsia="Times New Roman" w:hAnsi="Times New Roman" w:cs="Times New Roman"/>
          <w:bCs/>
          <w:kern w:val="36"/>
          <w:sz w:val="24"/>
          <w:szCs w:val="24"/>
          <w:lang w:eastAsia="fr-FR"/>
        </w:rPr>
        <w:t xml:space="preserve"> plutôt qualitatifs. Le ch</w:t>
      </w:r>
      <w:r>
        <w:rPr>
          <w:rFonts w:ascii="Times New Roman" w:eastAsia="Times New Roman" w:hAnsi="Times New Roman" w:cs="Times New Roman"/>
          <w:bCs/>
          <w:kern w:val="36"/>
          <w:sz w:val="24"/>
          <w:szCs w:val="24"/>
          <w:lang w:eastAsia="fr-FR"/>
        </w:rPr>
        <w:t xml:space="preserve">oix de quatre variables de DVI </w:t>
      </w:r>
      <w:r w:rsidRPr="001845C0">
        <w:rPr>
          <w:rFonts w:ascii="Times New Roman" w:eastAsia="Times New Roman" w:hAnsi="Times New Roman" w:cs="Times New Roman"/>
          <w:bCs/>
          <w:kern w:val="36"/>
          <w:sz w:val="24"/>
          <w:szCs w:val="24"/>
          <w:lang w:eastAsia="fr-FR"/>
        </w:rPr>
        <w:t xml:space="preserve">est justifié par la complémentarité des deux enjeux, sociétal et environnemental, </w:t>
      </w:r>
      <w:r>
        <w:rPr>
          <w:rFonts w:ascii="Times New Roman" w:eastAsia="Times New Roman" w:hAnsi="Times New Roman" w:cs="Times New Roman"/>
          <w:bCs/>
          <w:kern w:val="36"/>
          <w:sz w:val="24"/>
          <w:szCs w:val="24"/>
          <w:lang w:eastAsia="fr-FR"/>
        </w:rPr>
        <w:t>et la nécessaire prise en compte</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de</w:t>
      </w:r>
      <w:r w:rsidRPr="001845C0">
        <w:rPr>
          <w:rFonts w:ascii="Times New Roman" w:eastAsia="Times New Roman" w:hAnsi="Times New Roman" w:cs="Times New Roman"/>
          <w:bCs/>
          <w:kern w:val="36"/>
          <w:sz w:val="24"/>
          <w:szCs w:val="24"/>
          <w:lang w:eastAsia="fr-FR"/>
        </w:rPr>
        <w:t xml:space="preserve"> la variété des indicateurs existants.</w:t>
      </w:r>
    </w:p>
    <w:p w:rsidR="00EB3251" w:rsidRPr="003D5BD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5C092B">
        <w:rPr>
          <w:rFonts w:ascii="Times New Roman" w:eastAsia="Times New Roman" w:hAnsi="Times New Roman" w:cs="Times New Roman"/>
          <w:bCs/>
          <w:kern w:val="36"/>
          <w:sz w:val="24"/>
          <w:szCs w:val="24"/>
          <w:lang w:eastAsia="fr-FR"/>
        </w:rPr>
        <w:t>Les ajustements des modèles de régression confirment l’hypothèse de légitimité : l’augmentation des financements fossiles entraîne une accentuation de la DV</w:t>
      </w:r>
      <w:r w:rsidR="00FF58F3">
        <w:rPr>
          <w:rFonts w:ascii="Times New Roman" w:eastAsia="Times New Roman" w:hAnsi="Times New Roman" w:cs="Times New Roman"/>
          <w:bCs/>
          <w:kern w:val="36"/>
          <w:sz w:val="24"/>
          <w:szCs w:val="24"/>
          <w:lang w:eastAsia="fr-FR"/>
        </w:rPr>
        <w:t xml:space="preserve">I </w:t>
      </w:r>
      <w:r w:rsidR="005C092B" w:rsidRPr="005C092B">
        <w:rPr>
          <w:rFonts w:ascii="Times New Roman" w:eastAsia="Times New Roman" w:hAnsi="Times New Roman" w:cs="Times New Roman"/>
          <w:bCs/>
          <w:kern w:val="36"/>
          <w:sz w:val="24"/>
          <w:szCs w:val="24"/>
          <w:lang w:eastAsia="fr-FR"/>
        </w:rPr>
        <w:t>sociétale</w:t>
      </w:r>
      <w:r w:rsidR="00FF58F3">
        <w:rPr>
          <w:rFonts w:ascii="Times New Roman" w:eastAsia="Times New Roman" w:hAnsi="Times New Roman" w:cs="Times New Roman"/>
          <w:bCs/>
          <w:kern w:val="36"/>
          <w:sz w:val="24"/>
          <w:szCs w:val="24"/>
          <w:lang w:eastAsia="fr-FR"/>
        </w:rPr>
        <w:t xml:space="preserve"> et environnementale</w:t>
      </w:r>
      <w:r w:rsidR="005C092B" w:rsidRPr="005C092B">
        <w:rPr>
          <w:rFonts w:ascii="Times New Roman" w:eastAsia="Times New Roman" w:hAnsi="Times New Roman" w:cs="Times New Roman"/>
          <w:bCs/>
          <w:kern w:val="36"/>
          <w:sz w:val="24"/>
          <w:szCs w:val="24"/>
          <w:lang w:eastAsia="fr-FR"/>
        </w:rPr>
        <w:t>, plutôt en volume qu’en qualité</w:t>
      </w:r>
      <w:r w:rsidR="00501914">
        <w:rPr>
          <w:rFonts w:ascii="Times New Roman" w:eastAsia="Times New Roman" w:hAnsi="Times New Roman" w:cs="Times New Roman"/>
          <w:bCs/>
          <w:kern w:val="36"/>
          <w:sz w:val="24"/>
          <w:szCs w:val="24"/>
          <w:lang w:eastAsia="fr-FR"/>
        </w:rPr>
        <w:t xml:space="preserve">. La relation est stable et robuste pour les deux indicateurs de volume de DVI, alors qu’elle ne semble significative pour la variable de qualité de </w:t>
      </w:r>
      <w:r w:rsidR="003D5BD0">
        <w:rPr>
          <w:rFonts w:ascii="Times New Roman" w:eastAsia="Times New Roman" w:hAnsi="Times New Roman" w:cs="Times New Roman"/>
          <w:bCs/>
          <w:kern w:val="36"/>
          <w:sz w:val="24"/>
          <w:szCs w:val="24"/>
          <w:lang w:eastAsia="fr-FR"/>
        </w:rPr>
        <w:t xml:space="preserve">la </w:t>
      </w:r>
      <w:r w:rsidR="00501914">
        <w:rPr>
          <w:rFonts w:ascii="Times New Roman" w:eastAsia="Times New Roman" w:hAnsi="Times New Roman" w:cs="Times New Roman"/>
          <w:bCs/>
          <w:kern w:val="36"/>
          <w:sz w:val="24"/>
          <w:szCs w:val="24"/>
          <w:lang w:eastAsia="fr-FR"/>
        </w:rPr>
        <w:t>DVI environnementale que pour les banques non européennes de plus grande taille. Ainsi, l</w:t>
      </w:r>
      <w:r w:rsidRPr="005C092B">
        <w:rPr>
          <w:rFonts w:ascii="Times New Roman" w:eastAsia="Times New Roman" w:hAnsi="Times New Roman" w:cs="Times New Roman"/>
          <w:bCs/>
          <w:kern w:val="36"/>
          <w:sz w:val="24"/>
          <w:szCs w:val="24"/>
          <w:lang w:eastAsia="fr-FR"/>
        </w:rPr>
        <w:t>’origine géographique et la taille des banques font va</w:t>
      </w:r>
      <w:r w:rsidR="00501914">
        <w:rPr>
          <w:rFonts w:ascii="Times New Roman" w:eastAsia="Times New Roman" w:hAnsi="Times New Roman" w:cs="Times New Roman"/>
          <w:bCs/>
          <w:kern w:val="36"/>
          <w:sz w:val="24"/>
          <w:szCs w:val="24"/>
          <w:lang w:eastAsia="fr-FR"/>
        </w:rPr>
        <w:t>rier l’intensité de la relation performance-DVI.</w:t>
      </w:r>
      <w:r w:rsidRPr="00260CF1">
        <w:rPr>
          <w:rFonts w:ascii="Times New Roman" w:eastAsia="Times New Roman" w:hAnsi="Times New Roman" w:cs="Times New Roman"/>
          <w:bCs/>
          <w:color w:val="FF0000"/>
          <w:kern w:val="36"/>
          <w:sz w:val="24"/>
          <w:szCs w:val="24"/>
          <w:lang w:eastAsia="fr-FR"/>
        </w:rPr>
        <w:t xml:space="preserve"> </w:t>
      </w:r>
      <w:r w:rsidRPr="003D5BD0">
        <w:rPr>
          <w:rFonts w:ascii="Times New Roman" w:eastAsia="Times New Roman" w:hAnsi="Times New Roman" w:cs="Times New Roman"/>
          <w:bCs/>
          <w:kern w:val="36"/>
          <w:sz w:val="24"/>
          <w:szCs w:val="24"/>
          <w:lang w:eastAsia="fr-FR"/>
        </w:rPr>
        <w:t>Parmi les autres déterminants de la DVI issus de la littérature, l</w:t>
      </w:r>
      <w:r w:rsidR="00B05B6C">
        <w:rPr>
          <w:rFonts w:ascii="Times New Roman" w:eastAsia="Times New Roman" w:hAnsi="Times New Roman" w:cs="Times New Roman"/>
          <w:bCs/>
          <w:kern w:val="36"/>
          <w:sz w:val="24"/>
          <w:szCs w:val="24"/>
          <w:lang w:eastAsia="fr-FR"/>
        </w:rPr>
        <w:t>es variables externes (contexte institutionnel</w:t>
      </w:r>
      <w:r w:rsidRPr="003D5BD0">
        <w:rPr>
          <w:rFonts w:ascii="Times New Roman" w:eastAsia="Times New Roman" w:hAnsi="Times New Roman" w:cs="Times New Roman"/>
          <w:bCs/>
          <w:kern w:val="36"/>
          <w:sz w:val="24"/>
          <w:szCs w:val="24"/>
          <w:lang w:eastAsia="fr-FR"/>
        </w:rPr>
        <w:t xml:space="preserve"> et performance</w:t>
      </w:r>
      <w:r w:rsidR="00B05B6C">
        <w:rPr>
          <w:rFonts w:ascii="Times New Roman" w:eastAsia="Times New Roman" w:hAnsi="Times New Roman" w:cs="Times New Roman"/>
          <w:bCs/>
          <w:kern w:val="36"/>
          <w:sz w:val="24"/>
          <w:szCs w:val="24"/>
          <w:lang w:eastAsia="fr-FR"/>
        </w:rPr>
        <w:t xml:space="preserve"> environnementale</w:t>
      </w:r>
      <w:r w:rsidRPr="003D5BD0">
        <w:rPr>
          <w:rFonts w:ascii="Times New Roman" w:eastAsia="Times New Roman" w:hAnsi="Times New Roman" w:cs="Times New Roman"/>
          <w:bCs/>
          <w:kern w:val="36"/>
          <w:sz w:val="24"/>
          <w:szCs w:val="24"/>
          <w:lang w:eastAsia="fr-FR"/>
        </w:rPr>
        <w:t xml:space="preserve"> du pays d’origine) semblent plus pertinentes que les caractéristiques internes des b</w:t>
      </w:r>
      <w:r w:rsidR="00501914" w:rsidRPr="003D5BD0">
        <w:rPr>
          <w:rFonts w:ascii="Times New Roman" w:eastAsia="Times New Roman" w:hAnsi="Times New Roman" w:cs="Times New Roman"/>
          <w:bCs/>
          <w:kern w:val="36"/>
          <w:sz w:val="24"/>
          <w:szCs w:val="24"/>
          <w:lang w:eastAsia="fr-FR"/>
        </w:rPr>
        <w:t>anques telles que la taille</w:t>
      </w:r>
      <w:r w:rsidRPr="003D5BD0">
        <w:rPr>
          <w:rFonts w:ascii="Times New Roman" w:eastAsia="Times New Roman" w:hAnsi="Times New Roman" w:cs="Times New Roman"/>
          <w:bCs/>
          <w:kern w:val="36"/>
          <w:sz w:val="24"/>
          <w:szCs w:val="24"/>
          <w:lang w:eastAsia="fr-FR"/>
        </w:rPr>
        <w:t xml:space="preserve"> et la cota</w:t>
      </w:r>
      <w:r w:rsidR="003D5BD0" w:rsidRPr="003D5BD0">
        <w:rPr>
          <w:rFonts w:ascii="Times New Roman" w:eastAsia="Times New Roman" w:hAnsi="Times New Roman" w:cs="Times New Roman"/>
          <w:bCs/>
          <w:kern w:val="36"/>
          <w:sz w:val="24"/>
          <w:szCs w:val="24"/>
          <w:lang w:eastAsia="fr-FR"/>
        </w:rPr>
        <w:t>tion multiple. La mesure de rentabilité a un impact négatif sur le volume de DVI environnementale.</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Les apports de cet article sont multiples. Il vient tout d’abord renforcer la littérature trop rare sur les détermi</w:t>
      </w:r>
      <w:r w:rsidR="00260CF1">
        <w:rPr>
          <w:rFonts w:ascii="Times New Roman" w:eastAsia="Times New Roman" w:hAnsi="Times New Roman" w:cs="Times New Roman"/>
          <w:bCs/>
          <w:kern w:val="36"/>
          <w:sz w:val="24"/>
          <w:szCs w:val="24"/>
          <w:lang w:eastAsia="fr-FR"/>
        </w:rPr>
        <w:t xml:space="preserve">nants de la DVI </w:t>
      </w:r>
      <w:r w:rsidR="00FF58F3">
        <w:rPr>
          <w:rFonts w:ascii="Times New Roman" w:eastAsia="Times New Roman" w:hAnsi="Times New Roman" w:cs="Times New Roman"/>
          <w:bCs/>
          <w:kern w:val="36"/>
          <w:sz w:val="24"/>
          <w:szCs w:val="24"/>
          <w:lang w:eastAsia="fr-FR"/>
        </w:rPr>
        <w:t>extra-financière</w:t>
      </w:r>
      <w:r w:rsidR="00260CF1">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kern w:val="36"/>
          <w:sz w:val="24"/>
          <w:szCs w:val="24"/>
          <w:lang w:eastAsia="fr-FR"/>
        </w:rPr>
        <w:t xml:space="preserve">dans le </w:t>
      </w:r>
      <w:r w:rsidR="00260CF1">
        <w:rPr>
          <w:rFonts w:ascii="Times New Roman" w:eastAsia="Times New Roman" w:hAnsi="Times New Roman" w:cs="Times New Roman"/>
          <w:bCs/>
          <w:kern w:val="36"/>
          <w:sz w:val="24"/>
          <w:szCs w:val="24"/>
          <w:lang w:eastAsia="fr-FR"/>
        </w:rPr>
        <w:t>secteur bancaire (</w:t>
      </w:r>
      <w:proofErr w:type="spellStart"/>
      <w:r w:rsidR="00260CF1">
        <w:rPr>
          <w:rFonts w:ascii="Times New Roman" w:eastAsia="Times New Roman" w:hAnsi="Times New Roman" w:cs="Times New Roman"/>
          <w:bCs/>
          <w:kern w:val="36"/>
          <w:sz w:val="24"/>
          <w:szCs w:val="24"/>
          <w:lang w:eastAsia="fr-FR"/>
        </w:rPr>
        <w:t>Caby</w:t>
      </w:r>
      <w:proofErr w:type="spellEnd"/>
      <w:r w:rsidR="00260CF1">
        <w:rPr>
          <w:rFonts w:ascii="Times New Roman" w:eastAsia="Times New Roman" w:hAnsi="Times New Roman" w:cs="Times New Roman"/>
          <w:bCs/>
          <w:kern w:val="36"/>
          <w:sz w:val="24"/>
          <w:szCs w:val="24"/>
          <w:lang w:eastAsia="fr-FR"/>
        </w:rPr>
        <w:t xml:space="preserve"> et al.</w:t>
      </w:r>
      <w:r>
        <w:rPr>
          <w:rFonts w:ascii="Times New Roman" w:eastAsia="Times New Roman" w:hAnsi="Times New Roman" w:cs="Times New Roman"/>
          <w:bCs/>
          <w:kern w:val="36"/>
          <w:sz w:val="24"/>
          <w:szCs w:val="24"/>
          <w:lang w:eastAsia="fr-FR"/>
        </w:rPr>
        <w:t xml:space="preserve"> 2020). A notre connaissance, c’est d’ailleurs la première exploration du lien performance – DVI sur un échanti</w:t>
      </w:r>
      <w:r w:rsidR="00701C13">
        <w:rPr>
          <w:rFonts w:ascii="Times New Roman" w:eastAsia="Times New Roman" w:hAnsi="Times New Roman" w:cs="Times New Roman"/>
          <w:bCs/>
          <w:kern w:val="36"/>
          <w:sz w:val="24"/>
          <w:szCs w:val="24"/>
          <w:lang w:eastAsia="fr-FR"/>
        </w:rPr>
        <w:t>llon de banques internationales (l’activité bancaire est pourtant un terrain idéal pour tester l’hypothèse de légitimité).</w:t>
      </w:r>
    </w:p>
    <w:p w:rsidR="00EB3251" w:rsidRPr="00260CF1" w:rsidRDefault="00EB3251" w:rsidP="00EB3251">
      <w:pPr>
        <w:spacing w:before="100" w:beforeAutospacing="1" w:after="100" w:afterAutospacing="1" w:line="480" w:lineRule="auto"/>
        <w:jc w:val="both"/>
        <w:outlineLvl w:val="0"/>
        <w:rPr>
          <w:rFonts w:ascii="Times New Roman" w:eastAsia="Times New Roman" w:hAnsi="Times New Roman" w:cs="Times New Roman"/>
          <w:bCs/>
          <w:color w:val="FF0000"/>
          <w:kern w:val="36"/>
          <w:sz w:val="24"/>
          <w:szCs w:val="24"/>
          <w:lang w:eastAsia="fr-FR"/>
        </w:rPr>
      </w:pPr>
      <w:r>
        <w:rPr>
          <w:rFonts w:ascii="Times New Roman" w:eastAsia="Times New Roman" w:hAnsi="Times New Roman" w:cs="Times New Roman"/>
          <w:bCs/>
          <w:kern w:val="36"/>
          <w:sz w:val="24"/>
          <w:szCs w:val="24"/>
          <w:lang w:eastAsia="fr-FR"/>
        </w:rPr>
        <w:t>Malgré un échantillon réduit, le poids global des</w:t>
      </w:r>
      <w:r w:rsidRPr="001845C0">
        <w:rPr>
          <w:rFonts w:ascii="Times New Roman" w:eastAsia="Times New Roman" w:hAnsi="Times New Roman" w:cs="Times New Roman"/>
          <w:bCs/>
          <w:kern w:val="36"/>
          <w:sz w:val="24"/>
          <w:szCs w:val="24"/>
          <w:lang w:eastAsia="fr-FR"/>
        </w:rPr>
        <w:t xml:space="preserve"> groupes </w:t>
      </w:r>
      <w:r>
        <w:rPr>
          <w:rFonts w:ascii="Times New Roman" w:eastAsia="Times New Roman" w:hAnsi="Times New Roman" w:cs="Times New Roman"/>
          <w:bCs/>
          <w:kern w:val="36"/>
          <w:sz w:val="24"/>
          <w:szCs w:val="24"/>
          <w:lang w:eastAsia="fr-FR"/>
        </w:rPr>
        <w:t xml:space="preserve">bancaires </w:t>
      </w:r>
      <w:r w:rsidRPr="001845C0">
        <w:rPr>
          <w:rFonts w:ascii="Times New Roman" w:eastAsia="Times New Roman" w:hAnsi="Times New Roman" w:cs="Times New Roman"/>
          <w:bCs/>
          <w:kern w:val="36"/>
          <w:sz w:val="24"/>
          <w:szCs w:val="24"/>
          <w:lang w:eastAsia="fr-FR"/>
        </w:rPr>
        <w:t xml:space="preserve">internationaux </w:t>
      </w:r>
      <w:r>
        <w:rPr>
          <w:rFonts w:ascii="Times New Roman" w:eastAsia="Times New Roman" w:hAnsi="Times New Roman" w:cs="Times New Roman"/>
          <w:bCs/>
          <w:kern w:val="36"/>
          <w:sz w:val="24"/>
          <w:szCs w:val="24"/>
          <w:lang w:eastAsia="fr-FR"/>
        </w:rPr>
        <w:t>étudiés est significatif : ils</w:t>
      </w:r>
      <w:r w:rsidRPr="001845C0">
        <w:rPr>
          <w:rFonts w:ascii="Times New Roman" w:eastAsia="Times New Roman" w:hAnsi="Times New Roman" w:cs="Times New Roman"/>
          <w:bCs/>
          <w:kern w:val="36"/>
          <w:sz w:val="24"/>
          <w:szCs w:val="24"/>
          <w:lang w:eastAsia="fr-FR"/>
        </w:rPr>
        <w:t xml:space="preserve"> détiennent 57 645 milliard</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de dollars d’actifs fin 2019 et ont accordé 2 749 </w:t>
      </w:r>
      <w:r w:rsidRPr="001845C0">
        <w:rPr>
          <w:rFonts w:ascii="Times New Roman" w:eastAsia="Times New Roman" w:hAnsi="Times New Roman" w:cs="Times New Roman"/>
          <w:bCs/>
          <w:kern w:val="36"/>
          <w:sz w:val="24"/>
          <w:szCs w:val="24"/>
          <w:lang w:eastAsia="fr-FR"/>
        </w:rPr>
        <w:lastRenderedPageBreak/>
        <w:t>milliard</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de dollars de financement</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cumulé</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entre 2016 et 2019 aux entreprises des filières fossiles. Par ailleurs, </w:t>
      </w:r>
      <w:r>
        <w:rPr>
          <w:rFonts w:ascii="Times New Roman" w:eastAsia="Times New Roman" w:hAnsi="Times New Roman" w:cs="Times New Roman"/>
          <w:bCs/>
          <w:kern w:val="36"/>
          <w:sz w:val="24"/>
          <w:szCs w:val="24"/>
          <w:lang w:eastAsia="fr-FR"/>
        </w:rPr>
        <w:t xml:space="preserve">les résultats s’appuient sur </w:t>
      </w:r>
      <w:r w:rsidRPr="001845C0">
        <w:rPr>
          <w:rFonts w:ascii="Times New Roman" w:eastAsia="Times New Roman" w:hAnsi="Times New Roman" w:cs="Times New Roman"/>
          <w:bCs/>
          <w:kern w:val="36"/>
          <w:sz w:val="24"/>
          <w:szCs w:val="24"/>
          <w:lang w:eastAsia="fr-FR"/>
        </w:rPr>
        <w:t xml:space="preserve">une mesure </w:t>
      </w:r>
      <w:r>
        <w:rPr>
          <w:rFonts w:ascii="Times New Roman" w:eastAsia="Times New Roman" w:hAnsi="Times New Roman" w:cs="Times New Roman"/>
          <w:bCs/>
          <w:kern w:val="36"/>
          <w:sz w:val="24"/>
          <w:szCs w:val="24"/>
          <w:lang w:eastAsia="fr-FR"/>
        </w:rPr>
        <w:t xml:space="preserve">certes secondaire et partielle mais </w:t>
      </w:r>
      <w:r w:rsidRPr="001845C0">
        <w:rPr>
          <w:rFonts w:ascii="Times New Roman" w:eastAsia="Times New Roman" w:hAnsi="Times New Roman" w:cs="Times New Roman"/>
          <w:bCs/>
          <w:kern w:val="36"/>
          <w:sz w:val="24"/>
          <w:szCs w:val="24"/>
          <w:lang w:eastAsia="fr-FR"/>
        </w:rPr>
        <w:t>objective d</w:t>
      </w:r>
      <w:r w:rsidR="00FF58F3">
        <w:rPr>
          <w:rFonts w:ascii="Times New Roman" w:eastAsia="Times New Roman" w:hAnsi="Times New Roman" w:cs="Times New Roman"/>
          <w:bCs/>
          <w:kern w:val="36"/>
          <w:sz w:val="24"/>
          <w:szCs w:val="24"/>
          <w:lang w:eastAsia="fr-FR"/>
        </w:rPr>
        <w:t xml:space="preserve">e performance environnementale : les </w:t>
      </w:r>
      <w:r w:rsidRPr="001845C0">
        <w:rPr>
          <w:rFonts w:ascii="Times New Roman" w:eastAsia="Times New Roman" w:hAnsi="Times New Roman" w:cs="Times New Roman"/>
          <w:bCs/>
          <w:kern w:val="36"/>
          <w:sz w:val="24"/>
          <w:szCs w:val="24"/>
          <w:lang w:eastAsia="fr-FR"/>
        </w:rPr>
        <w:t xml:space="preserve">financements </w:t>
      </w:r>
      <w:r>
        <w:rPr>
          <w:rFonts w:ascii="Times New Roman" w:eastAsia="Times New Roman" w:hAnsi="Times New Roman" w:cs="Times New Roman"/>
          <w:bCs/>
          <w:kern w:val="36"/>
          <w:sz w:val="24"/>
          <w:szCs w:val="24"/>
          <w:lang w:eastAsia="fr-FR"/>
        </w:rPr>
        <w:t>directs aux filières fossiles</w:t>
      </w:r>
      <w:r w:rsidR="00FF58F3">
        <w:rPr>
          <w:rFonts w:ascii="Times New Roman" w:eastAsia="Times New Roman" w:hAnsi="Times New Roman" w:cs="Times New Roman"/>
          <w:bCs/>
          <w:kern w:val="36"/>
          <w:sz w:val="24"/>
          <w:szCs w:val="24"/>
          <w:lang w:eastAsia="fr-FR"/>
        </w:rPr>
        <w:t xml:space="preserve"> correspondent aux émissions de scope 3</w:t>
      </w:r>
      <w:r w:rsidR="00701C13">
        <w:rPr>
          <w:rFonts w:ascii="Times New Roman" w:eastAsia="Times New Roman" w:hAnsi="Times New Roman" w:cs="Times New Roman"/>
          <w:bCs/>
          <w:kern w:val="36"/>
          <w:sz w:val="24"/>
          <w:szCs w:val="24"/>
          <w:lang w:eastAsia="fr-FR"/>
        </w:rPr>
        <w:t>, part prépondérante de l’empreinte carbone</w:t>
      </w:r>
      <w:r w:rsidR="00AA5A72">
        <w:rPr>
          <w:rFonts w:ascii="Times New Roman" w:eastAsia="Times New Roman" w:hAnsi="Times New Roman" w:cs="Times New Roman"/>
          <w:bCs/>
          <w:kern w:val="36"/>
          <w:sz w:val="24"/>
          <w:szCs w:val="24"/>
          <w:lang w:eastAsia="fr-FR"/>
        </w:rPr>
        <w:t xml:space="preserve"> globale d’une organisation</w:t>
      </w:r>
      <w:r w:rsidR="00B05B6C">
        <w:rPr>
          <w:rFonts w:ascii="Times New Roman" w:eastAsia="Times New Roman" w:hAnsi="Times New Roman" w:cs="Times New Roman"/>
          <w:bCs/>
          <w:kern w:val="36"/>
          <w:sz w:val="24"/>
          <w:szCs w:val="24"/>
          <w:lang w:eastAsia="fr-FR"/>
        </w:rPr>
        <w:t xml:space="preserve">. </w:t>
      </w:r>
      <w:r w:rsidR="00701C13">
        <w:rPr>
          <w:rFonts w:ascii="Times New Roman" w:eastAsia="Times New Roman" w:hAnsi="Times New Roman" w:cs="Times New Roman"/>
          <w:bCs/>
          <w:kern w:val="36"/>
          <w:sz w:val="24"/>
          <w:szCs w:val="24"/>
          <w:lang w:eastAsia="fr-FR"/>
        </w:rPr>
        <w:t>Quatre indicateurs de DVI extra-financière sont calculés permettant de rendre compte de l’hétérogénéi</w:t>
      </w:r>
      <w:r w:rsidR="00AA5A72">
        <w:rPr>
          <w:rFonts w:ascii="Times New Roman" w:eastAsia="Times New Roman" w:hAnsi="Times New Roman" w:cs="Times New Roman"/>
          <w:bCs/>
          <w:kern w:val="36"/>
          <w:sz w:val="24"/>
          <w:szCs w:val="24"/>
          <w:lang w:eastAsia="fr-FR"/>
        </w:rPr>
        <w:t>té des formes de communication et des informations disponibles sur les politiques d’investissement, les engagements et les outils de mesure sociétaux et environnementaux des banques</w:t>
      </w:r>
      <w:r w:rsidR="00701C13">
        <w:rPr>
          <w:rFonts w:ascii="Times New Roman" w:eastAsia="Times New Roman" w:hAnsi="Times New Roman" w:cs="Times New Roman"/>
          <w:bCs/>
          <w:kern w:val="36"/>
          <w:sz w:val="24"/>
          <w:szCs w:val="24"/>
          <w:lang w:eastAsia="fr-FR"/>
        </w:rPr>
        <w:t xml:space="preserve">. </w:t>
      </w:r>
      <w:r w:rsidR="0031162C">
        <w:rPr>
          <w:rFonts w:ascii="Times New Roman" w:eastAsia="Times New Roman" w:hAnsi="Times New Roman" w:cs="Times New Roman"/>
          <w:bCs/>
          <w:kern w:val="36"/>
          <w:sz w:val="24"/>
          <w:szCs w:val="24"/>
          <w:lang w:eastAsia="fr-FR"/>
        </w:rPr>
        <w:t>Les modélisations incluent des critères d’optimisation et plusieurs paramètres alternatifs sont testés (effets annuels, valeurs marginales, banques publiques, banques coopératives</w:t>
      </w:r>
      <w:r w:rsidR="005C092B">
        <w:rPr>
          <w:rFonts w:ascii="Times New Roman" w:eastAsia="Times New Roman" w:hAnsi="Times New Roman" w:cs="Times New Roman"/>
          <w:bCs/>
          <w:kern w:val="36"/>
          <w:sz w:val="24"/>
          <w:szCs w:val="24"/>
          <w:lang w:eastAsia="fr-FR"/>
        </w:rPr>
        <w:t>, cas particuliers des banques chinoises et américaines</w:t>
      </w:r>
      <w:r w:rsidR="00B05B6C">
        <w:rPr>
          <w:rFonts w:ascii="Times New Roman" w:eastAsia="Times New Roman" w:hAnsi="Times New Roman" w:cs="Times New Roman"/>
          <w:bCs/>
          <w:kern w:val="36"/>
          <w:sz w:val="24"/>
          <w:szCs w:val="24"/>
          <w:lang w:eastAsia="fr-FR"/>
        </w:rPr>
        <w:t>, présence d’investisseurs institutionnels</w:t>
      </w:r>
      <w:r w:rsidR="0031162C">
        <w:rPr>
          <w:rFonts w:ascii="Times New Roman" w:eastAsia="Times New Roman" w:hAnsi="Times New Roman" w:cs="Times New Roman"/>
          <w:bCs/>
          <w:kern w:val="36"/>
          <w:sz w:val="24"/>
          <w:szCs w:val="24"/>
          <w:lang w:eastAsia="fr-FR"/>
        </w:rPr>
        <w:t>…) : l</w:t>
      </w:r>
      <w:r w:rsidR="005C092B">
        <w:rPr>
          <w:rFonts w:ascii="Times New Roman" w:eastAsia="Times New Roman" w:hAnsi="Times New Roman" w:cs="Times New Roman"/>
          <w:bCs/>
          <w:kern w:val="36"/>
          <w:sz w:val="24"/>
          <w:szCs w:val="24"/>
          <w:lang w:eastAsia="fr-FR"/>
        </w:rPr>
        <w:t>a variété des tests et</w:t>
      </w:r>
      <w:r w:rsidR="0031162C">
        <w:rPr>
          <w:rFonts w:ascii="Times New Roman" w:eastAsia="Times New Roman" w:hAnsi="Times New Roman" w:cs="Times New Roman"/>
          <w:bCs/>
          <w:kern w:val="36"/>
          <w:sz w:val="24"/>
          <w:szCs w:val="24"/>
          <w:lang w:eastAsia="fr-FR"/>
        </w:rPr>
        <w:t xml:space="preserve"> des spéc</w:t>
      </w:r>
      <w:r w:rsidR="005C092B">
        <w:rPr>
          <w:rFonts w:ascii="Times New Roman" w:eastAsia="Times New Roman" w:hAnsi="Times New Roman" w:cs="Times New Roman"/>
          <w:bCs/>
          <w:kern w:val="36"/>
          <w:sz w:val="24"/>
          <w:szCs w:val="24"/>
          <w:lang w:eastAsia="fr-FR"/>
        </w:rPr>
        <w:t>ifications envisagées renforce</w:t>
      </w:r>
      <w:r w:rsidR="0031162C">
        <w:rPr>
          <w:rFonts w:ascii="Times New Roman" w:eastAsia="Times New Roman" w:hAnsi="Times New Roman" w:cs="Times New Roman"/>
          <w:bCs/>
          <w:kern w:val="36"/>
          <w:sz w:val="24"/>
          <w:szCs w:val="24"/>
          <w:lang w:eastAsia="fr-FR"/>
        </w:rPr>
        <w:t xml:space="preserve"> la portée des résultats.</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Enfin, la mise en évidence du décalage entre emprein</w:t>
      </w:r>
      <w:r>
        <w:rPr>
          <w:rFonts w:ascii="Times New Roman" w:eastAsia="Times New Roman" w:hAnsi="Times New Roman" w:cs="Times New Roman"/>
          <w:bCs/>
          <w:kern w:val="36"/>
          <w:sz w:val="24"/>
          <w:szCs w:val="24"/>
          <w:lang w:eastAsia="fr-FR"/>
        </w:rPr>
        <w:t xml:space="preserve">te environnementale et DVI </w:t>
      </w:r>
      <w:r w:rsidRPr="001845C0">
        <w:rPr>
          <w:rFonts w:ascii="Times New Roman" w:eastAsia="Times New Roman" w:hAnsi="Times New Roman" w:cs="Times New Roman"/>
          <w:bCs/>
          <w:kern w:val="36"/>
          <w:sz w:val="24"/>
          <w:szCs w:val="24"/>
          <w:lang w:eastAsia="fr-FR"/>
        </w:rPr>
        <w:t>plaide en faveur d’une réglementation qui harmoniserait l’information environnementale des banques et légitimerait des indicateurs fiables, vérifiables et comparables dans le temps. Engagements et résultats environnementaux pourraient alors converger.</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La première section de cet article expose une revue de littérature </w:t>
      </w:r>
      <w:r>
        <w:rPr>
          <w:rFonts w:ascii="Times New Roman" w:eastAsia="Times New Roman" w:hAnsi="Times New Roman" w:cs="Times New Roman"/>
          <w:bCs/>
          <w:kern w:val="36"/>
          <w:sz w:val="24"/>
          <w:szCs w:val="24"/>
          <w:lang w:eastAsia="fr-FR"/>
        </w:rPr>
        <w:t>et les hypothèses de recherche</w:t>
      </w:r>
      <w:r w:rsidRPr="001845C0">
        <w:rPr>
          <w:rFonts w:ascii="Times New Roman" w:eastAsia="Times New Roman" w:hAnsi="Times New Roman" w:cs="Times New Roman"/>
          <w:bCs/>
          <w:kern w:val="36"/>
          <w:sz w:val="24"/>
          <w:szCs w:val="24"/>
          <w:lang w:eastAsia="fr-FR"/>
        </w:rPr>
        <w:t xml:space="preserve">. La deuxième partie </w:t>
      </w:r>
      <w:r>
        <w:rPr>
          <w:rFonts w:ascii="Times New Roman" w:eastAsia="Times New Roman" w:hAnsi="Times New Roman" w:cs="Times New Roman"/>
          <w:bCs/>
          <w:kern w:val="36"/>
          <w:sz w:val="24"/>
          <w:szCs w:val="24"/>
          <w:lang w:eastAsia="fr-FR"/>
        </w:rPr>
        <w:t xml:space="preserve">décrit l’échantillon et </w:t>
      </w:r>
      <w:r w:rsidRPr="001845C0">
        <w:rPr>
          <w:rFonts w:ascii="Times New Roman" w:eastAsia="Times New Roman" w:hAnsi="Times New Roman" w:cs="Times New Roman"/>
          <w:bCs/>
          <w:kern w:val="36"/>
          <w:sz w:val="24"/>
          <w:szCs w:val="24"/>
          <w:lang w:eastAsia="fr-FR"/>
        </w:rPr>
        <w:t>les variables. Enfin, la troisième partie détaille les rés</w:t>
      </w:r>
      <w:r>
        <w:rPr>
          <w:rFonts w:ascii="Times New Roman" w:eastAsia="Times New Roman" w:hAnsi="Times New Roman" w:cs="Times New Roman"/>
          <w:bCs/>
          <w:kern w:val="36"/>
          <w:sz w:val="24"/>
          <w:szCs w:val="24"/>
          <w:lang w:eastAsia="fr-FR"/>
        </w:rPr>
        <w:t xml:space="preserve">ultats </w:t>
      </w:r>
      <w:r w:rsidR="00DE2CFD">
        <w:rPr>
          <w:rFonts w:ascii="Times New Roman" w:eastAsia="Times New Roman" w:hAnsi="Times New Roman" w:cs="Times New Roman"/>
          <w:bCs/>
          <w:kern w:val="36"/>
          <w:sz w:val="24"/>
          <w:szCs w:val="24"/>
          <w:lang w:eastAsia="fr-FR"/>
        </w:rPr>
        <w:t xml:space="preserve">issus </w:t>
      </w:r>
      <w:r>
        <w:rPr>
          <w:rFonts w:ascii="Times New Roman" w:eastAsia="Times New Roman" w:hAnsi="Times New Roman" w:cs="Times New Roman"/>
          <w:bCs/>
          <w:kern w:val="36"/>
          <w:sz w:val="24"/>
          <w:szCs w:val="24"/>
          <w:lang w:eastAsia="fr-FR"/>
        </w:rPr>
        <w:t>des modélisations</w:t>
      </w:r>
      <w:r w:rsidRPr="001845C0">
        <w:rPr>
          <w:rFonts w:ascii="Times New Roman" w:eastAsia="Times New Roman" w:hAnsi="Times New Roman" w:cs="Times New Roman"/>
          <w:bCs/>
          <w:kern w:val="36"/>
          <w:sz w:val="24"/>
          <w:szCs w:val="24"/>
          <w:lang w:eastAsia="fr-FR"/>
        </w:rPr>
        <w:t xml:space="preserve">. La conclusion récapitule les apports et </w:t>
      </w:r>
      <w:r>
        <w:rPr>
          <w:rFonts w:ascii="Times New Roman" w:eastAsia="Times New Roman" w:hAnsi="Times New Roman" w:cs="Times New Roman"/>
          <w:bCs/>
          <w:kern w:val="36"/>
          <w:sz w:val="24"/>
          <w:szCs w:val="24"/>
          <w:lang w:eastAsia="fr-FR"/>
        </w:rPr>
        <w:t>ouvre la voie à de futures pistes de recherche</w:t>
      </w:r>
      <w:r w:rsidRPr="001845C0">
        <w:rPr>
          <w:rFonts w:ascii="Times New Roman" w:eastAsia="Times New Roman" w:hAnsi="Times New Roman" w:cs="Times New Roman"/>
          <w:bCs/>
          <w:kern w:val="36"/>
          <w:sz w:val="24"/>
          <w:szCs w:val="24"/>
          <w:lang w:eastAsia="fr-FR"/>
        </w:rPr>
        <w:t>.</w:t>
      </w: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8"/>
          <w:szCs w:val="28"/>
          <w:lang w:eastAsia="fr-FR"/>
        </w:rPr>
      </w:pPr>
      <w:r w:rsidRPr="00255584">
        <w:rPr>
          <w:rFonts w:ascii="Times New Roman" w:eastAsia="Times New Roman" w:hAnsi="Times New Roman" w:cs="Times New Roman"/>
          <w:b/>
          <w:bCs/>
          <w:kern w:val="36"/>
          <w:sz w:val="28"/>
          <w:szCs w:val="28"/>
          <w:lang w:eastAsia="fr-FR"/>
        </w:rPr>
        <w:t>2 Littérature et hypothèses</w:t>
      </w:r>
    </w:p>
    <w:p w:rsidR="00EB3251" w:rsidRPr="00A512DE" w:rsidRDefault="00EB3251" w:rsidP="00EB3251">
      <w:pPr>
        <w:spacing w:before="100" w:beforeAutospacing="1" w:after="100" w:afterAutospacing="1" w:line="480" w:lineRule="auto"/>
        <w:jc w:val="both"/>
        <w:rPr>
          <w:rFonts w:ascii="Times New Roman" w:hAnsi="Times New Roman" w:cs="Times New Roman"/>
          <w:sz w:val="24"/>
          <w:szCs w:val="24"/>
        </w:rPr>
      </w:pPr>
      <w:r w:rsidRPr="009E792C">
        <w:rPr>
          <w:rFonts w:ascii="Times New Roman" w:hAnsi="Times New Roman" w:cs="Times New Roman"/>
          <w:sz w:val="24"/>
          <w:szCs w:val="24"/>
        </w:rPr>
        <w:t>Deux grandes familles théoriques permettent d’identifier les déterminants de la DVI non financière : les théories socio-politiques</w:t>
      </w:r>
      <w:r>
        <w:rPr>
          <w:rFonts w:ascii="Times New Roman" w:hAnsi="Times New Roman" w:cs="Times New Roman"/>
          <w:sz w:val="24"/>
          <w:szCs w:val="24"/>
        </w:rPr>
        <w:t xml:space="preserve"> (néo-institutionnelle, légitimité, parties prenantes)</w:t>
      </w:r>
      <w:r w:rsidRPr="009E792C">
        <w:rPr>
          <w:rFonts w:ascii="Times New Roman" w:hAnsi="Times New Roman" w:cs="Times New Roman"/>
          <w:sz w:val="24"/>
          <w:szCs w:val="24"/>
        </w:rPr>
        <w:t xml:space="preserve"> et </w:t>
      </w:r>
      <w:r w:rsidRPr="009E792C">
        <w:rPr>
          <w:rFonts w:ascii="Times New Roman" w:hAnsi="Times New Roman" w:cs="Times New Roman"/>
          <w:sz w:val="24"/>
          <w:szCs w:val="24"/>
        </w:rPr>
        <w:lastRenderedPageBreak/>
        <w:t xml:space="preserve">les théories </w:t>
      </w:r>
      <w:r>
        <w:rPr>
          <w:rFonts w:ascii="Times New Roman" w:hAnsi="Times New Roman" w:cs="Times New Roman"/>
          <w:sz w:val="24"/>
          <w:szCs w:val="24"/>
        </w:rPr>
        <w:t>économiques (signal, agence, coûts de la DVI privée)</w:t>
      </w:r>
      <w:r>
        <w:rPr>
          <w:rStyle w:val="Appelnotedebasdep"/>
          <w:rFonts w:ascii="Times New Roman" w:hAnsi="Times New Roman" w:cs="Times New Roman"/>
          <w:sz w:val="24"/>
          <w:szCs w:val="24"/>
        </w:rPr>
        <w:footnoteReference w:id="4"/>
      </w:r>
      <w:r w:rsidRPr="009E792C">
        <w:rPr>
          <w:rFonts w:ascii="Times New Roman" w:hAnsi="Times New Roman" w:cs="Times New Roman"/>
          <w:sz w:val="24"/>
          <w:szCs w:val="24"/>
        </w:rPr>
        <w:t>.</w:t>
      </w:r>
      <w:r>
        <w:rPr>
          <w:rFonts w:ascii="Times New Roman" w:hAnsi="Times New Roman" w:cs="Times New Roman"/>
          <w:sz w:val="24"/>
          <w:szCs w:val="24"/>
        </w:rPr>
        <w:t xml:space="preserve"> Pour l’étude de la relation performance-DVI sociétale et environnementale, la littérature se concentre sur les hypothèses du signal et de légitimité.</w:t>
      </w: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sidRPr="00255584">
        <w:rPr>
          <w:rFonts w:ascii="Times New Roman" w:eastAsia="Times New Roman" w:hAnsi="Times New Roman" w:cs="Times New Roman"/>
          <w:b/>
          <w:bCs/>
          <w:kern w:val="36"/>
          <w:sz w:val="24"/>
          <w:szCs w:val="24"/>
          <w:lang w:eastAsia="fr-FR"/>
        </w:rPr>
        <w:t xml:space="preserve">2.1 </w:t>
      </w:r>
      <w:r w:rsidR="00EB3251" w:rsidRPr="00255584">
        <w:rPr>
          <w:rFonts w:ascii="Times New Roman" w:eastAsia="Times New Roman" w:hAnsi="Times New Roman" w:cs="Times New Roman"/>
          <w:b/>
          <w:bCs/>
          <w:kern w:val="36"/>
          <w:sz w:val="24"/>
          <w:szCs w:val="24"/>
          <w:lang w:eastAsia="fr-FR"/>
        </w:rPr>
        <w:t>DVI sociétale et environnementale : signal et/ou légitimité ?</w:t>
      </w:r>
    </w:p>
    <w:p w:rsidR="001F78EC" w:rsidRDefault="00EB3251" w:rsidP="00EB3251">
      <w:pPr>
        <w:spacing w:before="100" w:beforeAutospacing="1" w:after="100" w:afterAutospacing="1" w:line="480" w:lineRule="auto"/>
        <w:jc w:val="both"/>
        <w:outlineLvl w:val="0"/>
        <w:rPr>
          <w:rFonts w:ascii="Times New Roman" w:eastAsia="Times New Roman" w:hAnsi="Times New Roman" w:cs="Times New Roman"/>
          <w:bCs/>
          <w:color w:val="FF0000"/>
          <w:kern w:val="36"/>
          <w:sz w:val="24"/>
          <w:szCs w:val="24"/>
          <w:lang w:eastAsia="fr-FR"/>
        </w:rPr>
      </w:pPr>
      <w:r>
        <w:rPr>
          <w:rFonts w:ascii="Times New Roman" w:eastAsia="Times New Roman" w:hAnsi="Times New Roman" w:cs="Times New Roman"/>
          <w:bCs/>
          <w:kern w:val="36"/>
          <w:sz w:val="24"/>
          <w:szCs w:val="24"/>
          <w:lang w:eastAsia="fr-FR"/>
        </w:rPr>
        <w:t>Une décision rationnelle de DVI relève d’un arbitrage coût-bénéfice définissant un niveau optimal de divulgation d’information. Emise pour expli</w:t>
      </w:r>
      <w:r w:rsidR="00DE2CFD">
        <w:rPr>
          <w:rFonts w:ascii="Times New Roman" w:eastAsia="Times New Roman" w:hAnsi="Times New Roman" w:cs="Times New Roman"/>
          <w:bCs/>
          <w:kern w:val="36"/>
          <w:sz w:val="24"/>
          <w:szCs w:val="24"/>
          <w:lang w:eastAsia="fr-FR"/>
        </w:rPr>
        <w:t>quer la DVI financière (</w:t>
      </w:r>
      <w:proofErr w:type="spellStart"/>
      <w:r w:rsidR="00DE2CFD">
        <w:rPr>
          <w:rFonts w:ascii="Times New Roman" w:eastAsia="Times New Roman" w:hAnsi="Times New Roman" w:cs="Times New Roman"/>
          <w:bCs/>
          <w:kern w:val="36"/>
          <w:sz w:val="24"/>
          <w:szCs w:val="24"/>
          <w:lang w:eastAsia="fr-FR"/>
        </w:rPr>
        <w:t>Akerlof</w:t>
      </w:r>
      <w:proofErr w:type="spellEnd"/>
      <w:r>
        <w:rPr>
          <w:rFonts w:ascii="Times New Roman" w:eastAsia="Times New Roman" w:hAnsi="Times New Roman" w:cs="Times New Roman"/>
          <w:bCs/>
          <w:kern w:val="36"/>
          <w:sz w:val="24"/>
          <w:szCs w:val="24"/>
          <w:lang w:eastAsia="fr-FR"/>
        </w:rPr>
        <w:t xml:space="preserve"> 1970), cette hypothèse a été étendue à l’information sociétale et en</w:t>
      </w:r>
      <w:r w:rsidR="00DE2CFD">
        <w:rPr>
          <w:rFonts w:ascii="Times New Roman" w:eastAsia="Times New Roman" w:hAnsi="Times New Roman" w:cs="Times New Roman"/>
          <w:bCs/>
          <w:kern w:val="36"/>
          <w:sz w:val="24"/>
          <w:szCs w:val="24"/>
          <w:lang w:eastAsia="fr-FR"/>
        </w:rPr>
        <w:t>vironnementale (</w:t>
      </w:r>
      <w:proofErr w:type="spellStart"/>
      <w:r w:rsidR="00DE2CFD">
        <w:rPr>
          <w:rFonts w:ascii="Times New Roman" w:eastAsia="Times New Roman" w:hAnsi="Times New Roman" w:cs="Times New Roman"/>
          <w:bCs/>
          <w:kern w:val="36"/>
          <w:sz w:val="24"/>
          <w:szCs w:val="24"/>
          <w:lang w:eastAsia="fr-FR"/>
        </w:rPr>
        <w:t>Clarkson</w:t>
      </w:r>
      <w:proofErr w:type="spellEnd"/>
      <w:r w:rsidR="00DE2CFD">
        <w:rPr>
          <w:rFonts w:ascii="Times New Roman" w:eastAsia="Times New Roman" w:hAnsi="Times New Roman" w:cs="Times New Roman"/>
          <w:bCs/>
          <w:kern w:val="36"/>
          <w:sz w:val="24"/>
          <w:szCs w:val="24"/>
          <w:lang w:eastAsia="fr-FR"/>
        </w:rPr>
        <w:t xml:space="preserve"> et al.</w:t>
      </w:r>
      <w:r>
        <w:rPr>
          <w:rFonts w:ascii="Times New Roman" w:eastAsia="Times New Roman" w:hAnsi="Times New Roman" w:cs="Times New Roman"/>
          <w:bCs/>
          <w:kern w:val="36"/>
          <w:sz w:val="24"/>
          <w:szCs w:val="24"/>
          <w:lang w:eastAsia="fr-FR"/>
        </w:rPr>
        <w:t xml:space="preserve"> 2008). La DVI constitue un levier de communication permettant aux entreprises vertueuses de se différencier des autres firmes moins performantes (problème de sélection adverse) en émettant un signal crédible. L’hypothèse du signal prévoit une relation positive entre performance et DVI sociétale et </w:t>
      </w:r>
      <w:r w:rsidRPr="006F65E6">
        <w:rPr>
          <w:rFonts w:ascii="Times New Roman" w:eastAsia="Times New Roman" w:hAnsi="Times New Roman" w:cs="Times New Roman"/>
          <w:bCs/>
          <w:kern w:val="36"/>
          <w:sz w:val="24"/>
          <w:szCs w:val="24"/>
          <w:lang w:eastAsia="fr-FR"/>
        </w:rPr>
        <w:t>environnementale</w:t>
      </w:r>
      <w:r w:rsidRPr="006F65E6">
        <w:rPr>
          <w:rStyle w:val="Appelnotedebasdep"/>
          <w:rFonts w:ascii="Times New Roman" w:eastAsia="Times New Roman" w:hAnsi="Times New Roman" w:cs="Times New Roman"/>
          <w:bCs/>
          <w:kern w:val="36"/>
          <w:sz w:val="24"/>
          <w:szCs w:val="24"/>
          <w:lang w:eastAsia="fr-FR"/>
        </w:rPr>
        <w:footnoteReference w:id="5"/>
      </w:r>
      <w:r w:rsidRPr="006F65E6">
        <w:rPr>
          <w:rFonts w:ascii="Times New Roman" w:eastAsia="Times New Roman" w:hAnsi="Times New Roman" w:cs="Times New Roman"/>
          <w:bCs/>
          <w:kern w:val="36"/>
          <w:sz w:val="24"/>
          <w:szCs w:val="24"/>
          <w:lang w:eastAsia="fr-FR"/>
        </w:rPr>
        <w:t xml:space="preserve">.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 xml:space="preserve">La validité de l’hypothèse du signal dépend de la capacité des firmes à diffuser une information transparente de qualité. Or, la DVI </w:t>
      </w:r>
      <w:r w:rsidR="00AA5A72">
        <w:rPr>
          <w:rFonts w:ascii="Times New Roman" w:eastAsia="Times New Roman" w:hAnsi="Times New Roman" w:cs="Times New Roman"/>
          <w:bCs/>
          <w:kern w:val="36"/>
          <w:sz w:val="24"/>
          <w:szCs w:val="24"/>
          <w:lang w:eastAsia="fr-FR"/>
        </w:rPr>
        <w:t xml:space="preserve">sociétale et </w:t>
      </w:r>
      <w:r>
        <w:rPr>
          <w:rFonts w:ascii="Times New Roman" w:eastAsia="Times New Roman" w:hAnsi="Times New Roman" w:cs="Times New Roman"/>
          <w:bCs/>
          <w:kern w:val="36"/>
          <w:sz w:val="24"/>
          <w:szCs w:val="24"/>
          <w:lang w:eastAsia="fr-FR"/>
        </w:rPr>
        <w:t>environnementale n’est que très peu vérifiée ou auditée et souffre d’un manque de fiabilité et de comparabilité qui peut perturber le signal émis. Cette tendance est exacerbée dans le cas des banques pour lesquelles des problèmes méthodologiques existent dans l’estimation des émissions de scope 3 liées à leurs portefeuilles de crédits et d’</w:t>
      </w:r>
      <w:r w:rsidR="00DE2CFD">
        <w:rPr>
          <w:rFonts w:ascii="Times New Roman" w:eastAsia="Times New Roman" w:hAnsi="Times New Roman" w:cs="Times New Roman"/>
          <w:bCs/>
          <w:kern w:val="36"/>
          <w:sz w:val="24"/>
          <w:szCs w:val="24"/>
          <w:lang w:eastAsia="fr-FR"/>
        </w:rPr>
        <w:t>investissements (</w:t>
      </w:r>
      <w:proofErr w:type="spellStart"/>
      <w:r w:rsidR="00DE2CFD">
        <w:rPr>
          <w:rFonts w:ascii="Times New Roman" w:eastAsia="Times New Roman" w:hAnsi="Times New Roman" w:cs="Times New Roman"/>
          <w:bCs/>
          <w:kern w:val="36"/>
          <w:sz w:val="24"/>
          <w:szCs w:val="24"/>
          <w:lang w:eastAsia="fr-FR"/>
        </w:rPr>
        <w:t>Gerardi</w:t>
      </w:r>
      <w:proofErr w:type="spellEnd"/>
      <w:r w:rsidR="00DE2CFD">
        <w:rPr>
          <w:rFonts w:ascii="Times New Roman" w:eastAsia="Times New Roman" w:hAnsi="Times New Roman" w:cs="Times New Roman"/>
          <w:bCs/>
          <w:kern w:val="36"/>
          <w:sz w:val="24"/>
          <w:szCs w:val="24"/>
          <w:lang w:eastAsia="fr-FR"/>
        </w:rPr>
        <w:t xml:space="preserve"> et al.</w:t>
      </w:r>
      <w:r>
        <w:rPr>
          <w:rFonts w:ascii="Times New Roman" w:eastAsia="Times New Roman" w:hAnsi="Times New Roman" w:cs="Times New Roman"/>
          <w:bCs/>
          <w:kern w:val="36"/>
          <w:sz w:val="24"/>
          <w:szCs w:val="24"/>
          <w:lang w:eastAsia="fr-FR"/>
        </w:rPr>
        <w:t xml:space="preserve"> 2015) : ces émissions très hétérogènes et insta</w:t>
      </w:r>
      <w:r w:rsidR="00DE2CFD">
        <w:rPr>
          <w:rFonts w:ascii="Times New Roman" w:eastAsia="Times New Roman" w:hAnsi="Times New Roman" w:cs="Times New Roman"/>
          <w:bCs/>
          <w:kern w:val="36"/>
          <w:sz w:val="24"/>
          <w:szCs w:val="24"/>
          <w:lang w:eastAsia="fr-FR"/>
        </w:rPr>
        <w:t>bles (</w:t>
      </w:r>
      <w:proofErr w:type="spellStart"/>
      <w:r w:rsidR="00DE2CFD">
        <w:rPr>
          <w:rFonts w:ascii="Times New Roman" w:eastAsia="Times New Roman" w:hAnsi="Times New Roman" w:cs="Times New Roman"/>
          <w:bCs/>
          <w:kern w:val="36"/>
          <w:sz w:val="24"/>
          <w:szCs w:val="24"/>
          <w:lang w:eastAsia="fr-FR"/>
        </w:rPr>
        <w:t>Busch</w:t>
      </w:r>
      <w:proofErr w:type="spellEnd"/>
      <w:r w:rsidR="00DE2CFD">
        <w:rPr>
          <w:rFonts w:ascii="Times New Roman" w:eastAsia="Times New Roman" w:hAnsi="Times New Roman" w:cs="Times New Roman"/>
          <w:bCs/>
          <w:kern w:val="36"/>
          <w:sz w:val="24"/>
          <w:szCs w:val="24"/>
          <w:lang w:eastAsia="fr-FR"/>
        </w:rPr>
        <w:t xml:space="preserve"> et </w:t>
      </w:r>
      <w:proofErr w:type="spellStart"/>
      <w:r w:rsidR="00DE2CFD">
        <w:rPr>
          <w:rFonts w:ascii="Times New Roman" w:eastAsia="Times New Roman" w:hAnsi="Times New Roman" w:cs="Times New Roman"/>
          <w:bCs/>
          <w:kern w:val="36"/>
          <w:sz w:val="24"/>
          <w:szCs w:val="24"/>
          <w:lang w:eastAsia="fr-FR"/>
        </w:rPr>
        <w:t>Lewandowski</w:t>
      </w:r>
      <w:proofErr w:type="spellEnd"/>
      <w:r>
        <w:rPr>
          <w:rFonts w:ascii="Times New Roman" w:eastAsia="Times New Roman" w:hAnsi="Times New Roman" w:cs="Times New Roman"/>
          <w:bCs/>
          <w:kern w:val="36"/>
          <w:sz w:val="24"/>
          <w:szCs w:val="24"/>
          <w:lang w:eastAsia="fr-FR"/>
        </w:rPr>
        <w:t xml:space="preserve"> 2018) représentent </w:t>
      </w:r>
      <w:r w:rsidR="00AA5A72">
        <w:rPr>
          <w:rFonts w:ascii="Times New Roman" w:eastAsia="Times New Roman" w:hAnsi="Times New Roman" w:cs="Times New Roman"/>
          <w:bCs/>
          <w:kern w:val="36"/>
          <w:sz w:val="24"/>
          <w:szCs w:val="24"/>
          <w:lang w:eastAsia="fr-FR"/>
        </w:rPr>
        <w:t xml:space="preserve">pourtant plus de 70% </w:t>
      </w:r>
      <w:r>
        <w:rPr>
          <w:rFonts w:ascii="Times New Roman" w:eastAsia="Times New Roman" w:hAnsi="Times New Roman" w:cs="Times New Roman"/>
          <w:bCs/>
          <w:kern w:val="36"/>
          <w:sz w:val="24"/>
          <w:szCs w:val="24"/>
          <w:lang w:eastAsia="fr-FR"/>
        </w:rPr>
        <w:t>de l’emprei</w:t>
      </w:r>
      <w:r w:rsidR="00DE2CFD">
        <w:rPr>
          <w:rFonts w:ascii="Times New Roman" w:eastAsia="Times New Roman" w:hAnsi="Times New Roman" w:cs="Times New Roman"/>
          <w:bCs/>
          <w:kern w:val="36"/>
          <w:sz w:val="24"/>
          <w:szCs w:val="24"/>
          <w:lang w:eastAsia="fr-FR"/>
        </w:rPr>
        <w:t>nte carbone (</w:t>
      </w:r>
      <w:proofErr w:type="spellStart"/>
      <w:r w:rsidR="00DE2CFD">
        <w:rPr>
          <w:rFonts w:ascii="Times New Roman" w:eastAsia="Times New Roman" w:hAnsi="Times New Roman" w:cs="Times New Roman"/>
          <w:bCs/>
          <w:kern w:val="36"/>
          <w:sz w:val="24"/>
          <w:szCs w:val="24"/>
          <w:lang w:eastAsia="fr-FR"/>
        </w:rPr>
        <w:t>Teubler</w:t>
      </w:r>
      <w:proofErr w:type="spellEnd"/>
      <w:r w:rsidR="00DE2CFD">
        <w:rPr>
          <w:rFonts w:ascii="Times New Roman" w:eastAsia="Times New Roman" w:hAnsi="Times New Roman" w:cs="Times New Roman"/>
          <w:bCs/>
          <w:kern w:val="36"/>
          <w:sz w:val="24"/>
          <w:szCs w:val="24"/>
          <w:lang w:eastAsia="fr-FR"/>
        </w:rPr>
        <w:t xml:space="preserve"> et </w:t>
      </w:r>
      <w:proofErr w:type="spellStart"/>
      <w:r w:rsidR="00DE2CFD">
        <w:rPr>
          <w:rFonts w:ascii="Times New Roman" w:eastAsia="Times New Roman" w:hAnsi="Times New Roman" w:cs="Times New Roman"/>
          <w:bCs/>
          <w:kern w:val="36"/>
          <w:sz w:val="24"/>
          <w:szCs w:val="24"/>
          <w:lang w:eastAsia="fr-FR"/>
        </w:rPr>
        <w:t>Kühlert</w:t>
      </w:r>
      <w:proofErr w:type="spellEnd"/>
      <w:r>
        <w:rPr>
          <w:rFonts w:ascii="Times New Roman" w:eastAsia="Times New Roman" w:hAnsi="Times New Roman" w:cs="Times New Roman"/>
          <w:bCs/>
          <w:kern w:val="36"/>
          <w:sz w:val="24"/>
          <w:szCs w:val="24"/>
          <w:lang w:eastAsia="fr-FR"/>
        </w:rPr>
        <w:t xml:space="preserve"> 2020).</w:t>
      </w:r>
      <w:r w:rsidR="00831720">
        <w:rPr>
          <w:rFonts w:ascii="Times New Roman" w:eastAsia="Times New Roman" w:hAnsi="Times New Roman" w:cs="Times New Roman"/>
          <w:bCs/>
          <w:kern w:val="36"/>
          <w:sz w:val="24"/>
          <w:szCs w:val="24"/>
          <w:lang w:eastAsia="fr-FR"/>
        </w:rPr>
        <w:t xml:space="preserve"> A</w:t>
      </w:r>
      <w:r w:rsidR="001F78EC">
        <w:rPr>
          <w:rFonts w:ascii="Times New Roman" w:eastAsia="Times New Roman" w:hAnsi="Times New Roman" w:cs="Times New Roman"/>
          <w:bCs/>
          <w:kern w:val="36"/>
          <w:sz w:val="24"/>
          <w:szCs w:val="24"/>
          <w:lang w:eastAsia="fr-FR"/>
        </w:rPr>
        <w:t>insi, cet</w:t>
      </w:r>
      <w:r w:rsidR="00831720">
        <w:rPr>
          <w:rFonts w:ascii="Times New Roman" w:eastAsia="Times New Roman" w:hAnsi="Times New Roman" w:cs="Times New Roman"/>
          <w:bCs/>
          <w:kern w:val="36"/>
          <w:sz w:val="24"/>
          <w:szCs w:val="24"/>
          <w:lang w:eastAsia="fr-FR"/>
        </w:rPr>
        <w:t xml:space="preserve"> article privilégie l’hypothèse de légitimité en raison de la </w:t>
      </w:r>
      <w:r w:rsidR="00831720">
        <w:rPr>
          <w:rFonts w:ascii="Times New Roman" w:eastAsia="Times New Roman" w:hAnsi="Times New Roman" w:cs="Times New Roman"/>
          <w:bCs/>
          <w:kern w:val="36"/>
          <w:sz w:val="24"/>
          <w:szCs w:val="24"/>
          <w:lang w:eastAsia="fr-FR"/>
        </w:rPr>
        <w:lastRenderedPageBreak/>
        <w:t>nature de l’information étudiée et d</w:t>
      </w:r>
      <w:r w:rsidR="001F78EC">
        <w:rPr>
          <w:rFonts w:ascii="Times New Roman" w:eastAsia="Times New Roman" w:hAnsi="Times New Roman" w:cs="Times New Roman"/>
          <w:bCs/>
          <w:kern w:val="36"/>
          <w:sz w:val="24"/>
          <w:szCs w:val="24"/>
          <w:lang w:eastAsia="fr-FR"/>
        </w:rPr>
        <w:t>e l’activité bancaire (rôle clé dans l’économie, médiatisation, réputation fragile, ex</w:t>
      </w:r>
      <w:r w:rsidR="00B05B6C">
        <w:rPr>
          <w:rFonts w:ascii="Times New Roman" w:eastAsia="Times New Roman" w:hAnsi="Times New Roman" w:cs="Times New Roman"/>
          <w:bCs/>
          <w:kern w:val="36"/>
          <w:sz w:val="24"/>
          <w:szCs w:val="24"/>
          <w:lang w:eastAsia="fr-FR"/>
        </w:rPr>
        <w:t>position aux marchés financiers</w:t>
      </w:r>
      <w:r w:rsidR="001F78EC">
        <w:rPr>
          <w:rFonts w:ascii="Times New Roman" w:eastAsia="Times New Roman" w:hAnsi="Times New Roman" w:cs="Times New Roman"/>
          <w:bCs/>
          <w:kern w:val="36"/>
          <w:sz w:val="24"/>
          <w:szCs w:val="24"/>
          <w:lang w:eastAsia="fr-FR"/>
        </w:rPr>
        <w:t>).</w:t>
      </w:r>
    </w:p>
    <w:p w:rsidR="00EB3251" w:rsidRDefault="00EB3251" w:rsidP="00EB3251">
      <w:pPr>
        <w:spacing w:before="100" w:beforeAutospacing="1" w:after="100" w:afterAutospacing="1" w:line="480" w:lineRule="auto"/>
        <w:jc w:val="both"/>
        <w:outlineLvl w:val="0"/>
        <w:rPr>
          <w:rFonts w:ascii="Times New Roman" w:hAnsi="Times New Roman" w:cs="Times New Roman"/>
          <w:sz w:val="24"/>
          <w:szCs w:val="24"/>
        </w:rPr>
      </w:pPr>
      <w:r w:rsidRPr="009E792C">
        <w:rPr>
          <w:rFonts w:ascii="Times New Roman" w:hAnsi="Times New Roman" w:cs="Times New Roman"/>
          <w:sz w:val="24"/>
          <w:szCs w:val="24"/>
        </w:rPr>
        <w:t>Selon la théorie de la légitimité,</w:t>
      </w:r>
      <w:r w:rsidRPr="009E792C">
        <w:rPr>
          <w:rFonts w:ascii="Times New Roman" w:hAnsi="Times New Roman" w:cs="Times New Roman"/>
          <w:color w:val="FF0000"/>
          <w:sz w:val="24"/>
          <w:szCs w:val="24"/>
        </w:rPr>
        <w:t xml:space="preserve"> </w:t>
      </w:r>
      <w:r w:rsidRPr="009E792C">
        <w:rPr>
          <w:rFonts w:ascii="Times New Roman" w:hAnsi="Times New Roman" w:cs="Times New Roman"/>
          <w:sz w:val="24"/>
          <w:szCs w:val="24"/>
        </w:rPr>
        <w:t xml:space="preserve">il existe un contrat social entre la firme et la société dans son ensemble : les actions </w:t>
      </w:r>
      <w:r>
        <w:rPr>
          <w:rFonts w:ascii="Times New Roman" w:hAnsi="Times New Roman" w:cs="Times New Roman"/>
          <w:sz w:val="24"/>
          <w:szCs w:val="24"/>
        </w:rPr>
        <w:t>d’une organisation doivent s’adapter</w:t>
      </w:r>
      <w:r w:rsidRPr="009E792C">
        <w:rPr>
          <w:rFonts w:ascii="Times New Roman" w:hAnsi="Times New Roman" w:cs="Times New Roman"/>
          <w:sz w:val="24"/>
          <w:szCs w:val="24"/>
        </w:rPr>
        <w:t xml:space="preserve"> à un construit social de normes, valeurs et croyances (</w:t>
      </w:r>
      <w:proofErr w:type="spellStart"/>
      <w:r w:rsidR="00DE2CFD">
        <w:rPr>
          <w:rFonts w:ascii="Times New Roman" w:hAnsi="Times New Roman" w:cs="Times New Roman"/>
          <w:sz w:val="24"/>
          <w:szCs w:val="24"/>
        </w:rPr>
        <w:t>Suchman</w:t>
      </w:r>
      <w:proofErr w:type="spellEnd"/>
      <w:r w:rsidR="00DE2CFD">
        <w:rPr>
          <w:rFonts w:ascii="Times New Roman" w:hAnsi="Times New Roman" w:cs="Times New Roman"/>
          <w:sz w:val="24"/>
          <w:szCs w:val="24"/>
        </w:rPr>
        <w:t xml:space="preserve"> </w:t>
      </w:r>
      <w:r w:rsidRPr="00EB62F7">
        <w:rPr>
          <w:rFonts w:ascii="Times New Roman" w:hAnsi="Times New Roman" w:cs="Times New Roman"/>
          <w:sz w:val="24"/>
          <w:szCs w:val="24"/>
        </w:rPr>
        <w:t>1995</w:t>
      </w:r>
      <w:r w:rsidRPr="009E792C">
        <w:rPr>
          <w:rFonts w:ascii="Times New Roman" w:hAnsi="Times New Roman" w:cs="Times New Roman"/>
          <w:sz w:val="24"/>
          <w:szCs w:val="24"/>
        </w:rPr>
        <w:t xml:space="preserve"> ; </w:t>
      </w:r>
      <w:proofErr w:type="spellStart"/>
      <w:r w:rsidR="00DE2CFD">
        <w:rPr>
          <w:rFonts w:ascii="Times New Roman" w:hAnsi="Times New Roman" w:cs="Times New Roman"/>
          <w:sz w:val="24"/>
          <w:szCs w:val="24"/>
        </w:rPr>
        <w:t>Deegan</w:t>
      </w:r>
      <w:proofErr w:type="spellEnd"/>
      <w:r w:rsidRPr="00EB62F7">
        <w:rPr>
          <w:rFonts w:ascii="Times New Roman" w:hAnsi="Times New Roman" w:cs="Times New Roman"/>
          <w:sz w:val="24"/>
          <w:szCs w:val="24"/>
        </w:rPr>
        <w:t xml:space="preserve"> 2002</w:t>
      </w:r>
      <w:r w:rsidR="00DE2CFD">
        <w:rPr>
          <w:rFonts w:ascii="Times New Roman" w:hAnsi="Times New Roman" w:cs="Times New Roman"/>
          <w:sz w:val="24"/>
          <w:szCs w:val="24"/>
        </w:rPr>
        <w:t> ; Cho et Patten</w:t>
      </w:r>
      <w:r>
        <w:rPr>
          <w:rFonts w:ascii="Times New Roman" w:hAnsi="Times New Roman" w:cs="Times New Roman"/>
          <w:sz w:val="24"/>
          <w:szCs w:val="24"/>
        </w:rPr>
        <w:t xml:space="preserve"> 2007). La recherche de légitimité est un processus constant d’adaptation aux évolutions sociétales qui permet de rapprocher les valeurs véhiculées par les activités de la firme et celles de la société. Différentes stratégies s’offrent aux firmes pour la restaurer, </w:t>
      </w:r>
      <w:r w:rsidR="00DE2CFD">
        <w:rPr>
          <w:rFonts w:ascii="Times New Roman" w:hAnsi="Times New Roman" w:cs="Times New Roman"/>
          <w:sz w:val="24"/>
          <w:szCs w:val="24"/>
        </w:rPr>
        <w:t>la maintenir ou l’augmenter (</w:t>
      </w:r>
      <w:proofErr w:type="spellStart"/>
      <w:r w:rsidR="00DE2CFD">
        <w:rPr>
          <w:rFonts w:ascii="Times New Roman" w:hAnsi="Times New Roman" w:cs="Times New Roman"/>
          <w:sz w:val="24"/>
          <w:szCs w:val="24"/>
        </w:rPr>
        <w:t>Luo</w:t>
      </w:r>
      <w:proofErr w:type="spellEnd"/>
      <w:r>
        <w:rPr>
          <w:rFonts w:ascii="Times New Roman" w:hAnsi="Times New Roman" w:cs="Times New Roman"/>
          <w:sz w:val="24"/>
          <w:szCs w:val="24"/>
        </w:rPr>
        <w:t xml:space="preserve"> 2019). Parmi elles, la DVI constitue un outil efficace de gestion d’image (Cho e</w:t>
      </w:r>
      <w:r w:rsidR="00DE2CFD">
        <w:rPr>
          <w:rFonts w:ascii="Times New Roman" w:hAnsi="Times New Roman" w:cs="Times New Roman"/>
          <w:sz w:val="24"/>
          <w:szCs w:val="24"/>
        </w:rPr>
        <w:t>t Patten</w:t>
      </w:r>
      <w:r>
        <w:rPr>
          <w:rFonts w:ascii="Times New Roman" w:hAnsi="Times New Roman" w:cs="Times New Roman"/>
          <w:sz w:val="24"/>
          <w:szCs w:val="24"/>
        </w:rPr>
        <w:t xml:space="preserve"> 2007). Ainsi, l’hypothèse de légitimité suppose que des firmes présentant de faibles performances sociétale et environnementale tenteront de disséminer plus d’informations pour pr</w:t>
      </w:r>
      <w:r w:rsidR="00DE2CFD">
        <w:rPr>
          <w:rFonts w:ascii="Times New Roman" w:hAnsi="Times New Roman" w:cs="Times New Roman"/>
          <w:sz w:val="24"/>
          <w:szCs w:val="24"/>
        </w:rPr>
        <w:t xml:space="preserve">éserver leur légitimité (Patten 2002 ; </w:t>
      </w:r>
      <w:proofErr w:type="spellStart"/>
      <w:r w:rsidR="00DE2CFD">
        <w:rPr>
          <w:rFonts w:ascii="Times New Roman" w:hAnsi="Times New Roman" w:cs="Times New Roman"/>
          <w:sz w:val="24"/>
          <w:szCs w:val="24"/>
        </w:rPr>
        <w:t>Deegan</w:t>
      </w:r>
      <w:proofErr w:type="spellEnd"/>
      <w:r>
        <w:rPr>
          <w:rFonts w:ascii="Times New Roman" w:hAnsi="Times New Roman" w:cs="Times New Roman"/>
          <w:sz w:val="24"/>
          <w:szCs w:val="24"/>
        </w:rPr>
        <w:t xml:space="preserve"> 2002). De nombreux tests empiriques ont conclu à l’existence d’une relation négative entre performance et DVI : Patten (1992) ;</w:t>
      </w:r>
      <w:r w:rsidR="00E2706E" w:rsidRPr="00E2706E">
        <w:rPr>
          <w:rFonts w:ascii="Times New Roman" w:hAnsi="Times New Roman" w:cs="Times New Roman"/>
          <w:sz w:val="24"/>
          <w:szCs w:val="24"/>
        </w:rPr>
        <w:t xml:space="preserve"> </w:t>
      </w:r>
      <w:r w:rsidR="00E2706E">
        <w:rPr>
          <w:rFonts w:ascii="Times New Roman" w:hAnsi="Times New Roman" w:cs="Times New Roman"/>
          <w:sz w:val="24"/>
          <w:szCs w:val="24"/>
        </w:rPr>
        <w:t>Cho et al. (2006) ;</w:t>
      </w:r>
      <w:r>
        <w:rPr>
          <w:rFonts w:ascii="Times New Roman" w:hAnsi="Times New Roman" w:cs="Times New Roman"/>
          <w:sz w:val="24"/>
          <w:szCs w:val="24"/>
        </w:rPr>
        <w:t xml:space="preserve"> De Villiers et Van Staden (2006) ;</w:t>
      </w:r>
      <w:r w:rsidR="004D6DEA" w:rsidRPr="004D6DEA">
        <w:rPr>
          <w:rFonts w:ascii="Times New Roman" w:hAnsi="Times New Roman" w:cs="Times New Roman"/>
          <w:sz w:val="24"/>
          <w:szCs w:val="24"/>
        </w:rPr>
        <w:t xml:space="preserve"> </w:t>
      </w:r>
      <w:proofErr w:type="spellStart"/>
      <w:r w:rsidR="004D6DEA">
        <w:rPr>
          <w:rFonts w:ascii="Times New Roman" w:hAnsi="Times New Roman" w:cs="Times New Roman"/>
          <w:sz w:val="24"/>
          <w:szCs w:val="24"/>
        </w:rPr>
        <w:t>Luo</w:t>
      </w:r>
      <w:proofErr w:type="spellEnd"/>
      <w:r w:rsidR="004D6DEA">
        <w:rPr>
          <w:rFonts w:ascii="Times New Roman" w:hAnsi="Times New Roman" w:cs="Times New Roman"/>
          <w:sz w:val="24"/>
          <w:szCs w:val="24"/>
        </w:rPr>
        <w:t xml:space="preserve"> (2019) ; </w:t>
      </w:r>
      <w:proofErr w:type="spellStart"/>
      <w:r w:rsidR="004D6DEA">
        <w:rPr>
          <w:rFonts w:ascii="Times New Roman" w:hAnsi="Times New Roman" w:cs="Times New Roman"/>
          <w:sz w:val="24"/>
          <w:szCs w:val="24"/>
        </w:rPr>
        <w:t>Cong</w:t>
      </w:r>
      <w:proofErr w:type="spellEnd"/>
      <w:r w:rsidR="004D6DEA">
        <w:rPr>
          <w:rFonts w:ascii="Times New Roman" w:hAnsi="Times New Roman" w:cs="Times New Roman"/>
          <w:sz w:val="24"/>
          <w:szCs w:val="24"/>
        </w:rPr>
        <w:t xml:space="preserve"> et al. (2020) ;</w:t>
      </w:r>
      <w:r w:rsidR="004D6DEA" w:rsidRPr="004D6DEA">
        <w:rPr>
          <w:rFonts w:ascii="Times New Roman" w:hAnsi="Times New Roman" w:cs="Times New Roman"/>
          <w:sz w:val="24"/>
          <w:szCs w:val="24"/>
        </w:rPr>
        <w:t xml:space="preserve"> </w:t>
      </w:r>
      <w:proofErr w:type="spellStart"/>
      <w:r w:rsidR="004D6DEA">
        <w:rPr>
          <w:rFonts w:ascii="Times New Roman" w:hAnsi="Times New Roman" w:cs="Times New Roman"/>
          <w:sz w:val="24"/>
          <w:szCs w:val="24"/>
        </w:rPr>
        <w:t>Doan</w:t>
      </w:r>
      <w:proofErr w:type="spellEnd"/>
      <w:r w:rsidR="004D6DEA">
        <w:rPr>
          <w:rFonts w:ascii="Times New Roman" w:hAnsi="Times New Roman" w:cs="Times New Roman"/>
          <w:sz w:val="24"/>
          <w:szCs w:val="24"/>
        </w:rPr>
        <w:t xml:space="preserve"> et </w:t>
      </w:r>
      <w:proofErr w:type="spellStart"/>
      <w:r w:rsidR="004D6DEA">
        <w:rPr>
          <w:rFonts w:ascii="Times New Roman" w:hAnsi="Times New Roman" w:cs="Times New Roman"/>
          <w:sz w:val="24"/>
          <w:szCs w:val="24"/>
        </w:rPr>
        <w:t>Sassen</w:t>
      </w:r>
      <w:proofErr w:type="spellEnd"/>
      <w:r w:rsidR="004D6DEA">
        <w:rPr>
          <w:rFonts w:ascii="Times New Roman" w:hAnsi="Times New Roman" w:cs="Times New Roman"/>
          <w:sz w:val="24"/>
          <w:szCs w:val="24"/>
        </w:rPr>
        <w:t xml:space="preserve"> (2020) ;</w:t>
      </w:r>
      <w:r>
        <w:rPr>
          <w:rFonts w:ascii="Times New Roman" w:hAnsi="Times New Roman" w:cs="Times New Roman"/>
          <w:sz w:val="24"/>
          <w:szCs w:val="24"/>
        </w:rPr>
        <w:t xml:space="preserve"> </w:t>
      </w:r>
      <w:proofErr w:type="spellStart"/>
      <w:r>
        <w:rPr>
          <w:rFonts w:ascii="Times New Roman" w:hAnsi="Times New Roman" w:cs="Times New Roman"/>
          <w:sz w:val="24"/>
          <w:szCs w:val="24"/>
        </w:rPr>
        <w:t>Ghitti</w:t>
      </w:r>
      <w:proofErr w:type="spellEnd"/>
      <w:r>
        <w:rPr>
          <w:rFonts w:ascii="Times New Roman" w:hAnsi="Times New Roman" w:cs="Times New Roman"/>
          <w:sz w:val="24"/>
          <w:szCs w:val="24"/>
        </w:rPr>
        <w:t xml:space="preserve"> et al. (2020) sur la DVI environnementale, et </w:t>
      </w:r>
      <w:proofErr w:type="spellStart"/>
      <w:r>
        <w:rPr>
          <w:rFonts w:ascii="Times New Roman" w:hAnsi="Times New Roman" w:cs="Times New Roman"/>
          <w:sz w:val="24"/>
          <w:szCs w:val="24"/>
        </w:rPr>
        <w:t>Yu</w:t>
      </w:r>
      <w:proofErr w:type="spellEnd"/>
      <w:r>
        <w:rPr>
          <w:rFonts w:ascii="Times New Roman" w:hAnsi="Times New Roman" w:cs="Times New Roman"/>
          <w:sz w:val="24"/>
          <w:szCs w:val="24"/>
        </w:rPr>
        <w:t xml:space="preserve"> et al. (2020) sur la DVI sociétale.</w:t>
      </w:r>
    </w:p>
    <w:p w:rsidR="00EB3251" w:rsidRDefault="00EB3251" w:rsidP="00EB3251">
      <w:pPr>
        <w:spacing w:before="100" w:beforeAutospacing="1" w:after="100" w:afterAutospacing="1" w:line="48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Quelques études parviennent à des résultats contrastés et privilégient l’existence d’une relation performance-DVI non linéaire qui concilierait les deux prédictions théoriques : une relation positive pour les entreprises vertueuses et une relation négative </w:t>
      </w:r>
      <w:r w:rsidR="004D6DEA">
        <w:rPr>
          <w:rFonts w:ascii="Times New Roman" w:hAnsi="Times New Roman" w:cs="Times New Roman"/>
          <w:sz w:val="24"/>
          <w:szCs w:val="24"/>
        </w:rPr>
        <w:t>pour les moins performantes (Hummel et Schlick 2016 ; Zeeshan</w:t>
      </w:r>
      <w:r>
        <w:rPr>
          <w:rFonts w:ascii="Times New Roman" w:hAnsi="Times New Roman" w:cs="Times New Roman"/>
          <w:sz w:val="24"/>
          <w:szCs w:val="24"/>
        </w:rPr>
        <w:t xml:space="preserve"> 2017). Finalement, la littérature identifie plusieurs paramètres pouvant impacter l’intensité et le sens de la relation performance-DVI : la nature </w:t>
      </w:r>
      <w:r w:rsidR="004D6DEA">
        <w:rPr>
          <w:rFonts w:ascii="Times New Roman" w:hAnsi="Times New Roman" w:cs="Times New Roman"/>
          <w:sz w:val="24"/>
          <w:szCs w:val="24"/>
        </w:rPr>
        <w:t>et la qualité de l’information (De Villiers et Van Staden 2006 ; Hummel et Schlick 2016</w:t>
      </w:r>
      <w:r>
        <w:rPr>
          <w:rFonts w:ascii="Times New Roman" w:hAnsi="Times New Roman" w:cs="Times New Roman"/>
          <w:sz w:val="24"/>
          <w:szCs w:val="24"/>
        </w:rPr>
        <w:t xml:space="preserve">), </w:t>
      </w:r>
      <w:r w:rsidR="004D6DEA">
        <w:rPr>
          <w:rFonts w:ascii="Times New Roman" w:hAnsi="Times New Roman" w:cs="Times New Roman"/>
          <w:sz w:val="24"/>
          <w:szCs w:val="24"/>
        </w:rPr>
        <w:t>le contexte institutionnel (</w:t>
      </w:r>
      <w:proofErr w:type="spellStart"/>
      <w:r w:rsidR="004D6DEA">
        <w:rPr>
          <w:rFonts w:ascii="Times New Roman" w:hAnsi="Times New Roman" w:cs="Times New Roman"/>
          <w:sz w:val="24"/>
          <w:szCs w:val="24"/>
        </w:rPr>
        <w:t>Luo</w:t>
      </w:r>
      <w:proofErr w:type="spellEnd"/>
      <w:r>
        <w:rPr>
          <w:rFonts w:ascii="Times New Roman" w:hAnsi="Times New Roman" w:cs="Times New Roman"/>
          <w:sz w:val="24"/>
          <w:szCs w:val="24"/>
        </w:rPr>
        <w:t xml:space="preserve"> 2019), les groupes de par</w:t>
      </w:r>
      <w:r w:rsidR="004D6DEA">
        <w:rPr>
          <w:rFonts w:ascii="Times New Roman" w:hAnsi="Times New Roman" w:cs="Times New Roman"/>
          <w:sz w:val="24"/>
          <w:szCs w:val="24"/>
        </w:rPr>
        <w:t>ties prenantes (Guenther et al.</w:t>
      </w:r>
      <w:r>
        <w:rPr>
          <w:rFonts w:ascii="Times New Roman" w:hAnsi="Times New Roman" w:cs="Times New Roman"/>
          <w:sz w:val="24"/>
          <w:szCs w:val="24"/>
        </w:rPr>
        <w:t xml:space="preserve"> 2016) et les mécani</w:t>
      </w:r>
      <w:r w:rsidR="004D6DEA">
        <w:rPr>
          <w:rFonts w:ascii="Times New Roman" w:hAnsi="Times New Roman" w:cs="Times New Roman"/>
          <w:sz w:val="24"/>
          <w:szCs w:val="24"/>
        </w:rPr>
        <w:t>smes de gouvernance (</w:t>
      </w:r>
      <w:proofErr w:type="spellStart"/>
      <w:r w:rsidR="004D6DEA">
        <w:rPr>
          <w:rFonts w:ascii="Times New Roman" w:hAnsi="Times New Roman" w:cs="Times New Roman"/>
          <w:sz w:val="24"/>
          <w:szCs w:val="24"/>
        </w:rPr>
        <w:t>Bui</w:t>
      </w:r>
      <w:proofErr w:type="spellEnd"/>
      <w:r w:rsidR="004D6DEA">
        <w:rPr>
          <w:rFonts w:ascii="Times New Roman" w:hAnsi="Times New Roman" w:cs="Times New Roman"/>
          <w:sz w:val="24"/>
          <w:szCs w:val="24"/>
        </w:rPr>
        <w:t xml:space="preserve"> et al.</w:t>
      </w:r>
      <w:r>
        <w:rPr>
          <w:rFonts w:ascii="Times New Roman" w:hAnsi="Times New Roman" w:cs="Times New Roman"/>
          <w:sz w:val="24"/>
          <w:szCs w:val="24"/>
        </w:rPr>
        <w:t xml:space="preserve"> 2020). Le tableau 1 synthétise les échantillons et les outils de mesure de performance et </w:t>
      </w:r>
      <w:r w:rsidR="004D6DEA">
        <w:rPr>
          <w:rFonts w:ascii="Times New Roman" w:hAnsi="Times New Roman" w:cs="Times New Roman"/>
          <w:sz w:val="24"/>
          <w:szCs w:val="24"/>
        </w:rPr>
        <w:t xml:space="preserve">de </w:t>
      </w:r>
      <w:r>
        <w:rPr>
          <w:rFonts w:ascii="Times New Roman" w:hAnsi="Times New Roman" w:cs="Times New Roman"/>
          <w:sz w:val="24"/>
          <w:szCs w:val="24"/>
        </w:rPr>
        <w:t xml:space="preserve">DVI mobilisés par les tests précédents. Les différences </w:t>
      </w:r>
      <w:r>
        <w:rPr>
          <w:rFonts w:ascii="Times New Roman" w:hAnsi="Times New Roman" w:cs="Times New Roman"/>
          <w:sz w:val="24"/>
          <w:szCs w:val="24"/>
        </w:rPr>
        <w:lastRenderedPageBreak/>
        <w:t xml:space="preserve">méthodologiques marquées, relevées également par </w:t>
      </w:r>
      <w:proofErr w:type="spellStart"/>
      <w:r>
        <w:rPr>
          <w:rFonts w:ascii="Times New Roman" w:hAnsi="Times New Roman" w:cs="Times New Roman"/>
          <w:sz w:val="24"/>
          <w:szCs w:val="24"/>
        </w:rPr>
        <w:t>Doan</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Sassen</w:t>
      </w:r>
      <w:proofErr w:type="spellEnd"/>
      <w:r>
        <w:rPr>
          <w:rFonts w:ascii="Times New Roman" w:hAnsi="Times New Roman" w:cs="Times New Roman"/>
          <w:sz w:val="24"/>
          <w:szCs w:val="24"/>
        </w:rPr>
        <w:t xml:space="preserve"> (2020), sont probablement à l’origine de l’hétérogénéité des résultats.</w:t>
      </w:r>
    </w:p>
    <w:p w:rsidR="0042669B" w:rsidRPr="00482C55" w:rsidRDefault="0042669B" w:rsidP="0042669B">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482C55">
        <w:rPr>
          <w:rFonts w:ascii="Times New Roman" w:eastAsia="Times New Roman" w:hAnsi="Times New Roman" w:cs="Times New Roman"/>
          <w:b/>
          <w:bCs/>
          <w:kern w:val="36"/>
          <w:sz w:val="24"/>
          <w:szCs w:val="24"/>
          <w:lang w:eastAsia="fr-FR"/>
        </w:rPr>
        <w:t>Tableau 1 : Synthèse des résultats empiriques sur le lien Performance – DVI sociétale et environnementale.</w:t>
      </w:r>
    </w:p>
    <w:tbl>
      <w:tblPr>
        <w:tblStyle w:val="Grilledutableau"/>
        <w:tblW w:w="0" w:type="auto"/>
        <w:tblLook w:val="04A0" w:firstRow="1" w:lastRow="0" w:firstColumn="1" w:lastColumn="0" w:noHBand="0" w:noVBand="1"/>
      </w:tblPr>
      <w:tblGrid>
        <w:gridCol w:w="2296"/>
        <w:gridCol w:w="2251"/>
        <w:gridCol w:w="2258"/>
        <w:gridCol w:w="2257"/>
      </w:tblGrid>
      <w:tr w:rsidR="0042669B" w:rsidRPr="005D4752" w:rsidTr="0042669B">
        <w:tc>
          <w:tcPr>
            <w:tcW w:w="2265" w:type="dxa"/>
          </w:tcPr>
          <w:p w:rsidR="0042669B" w:rsidRPr="005D4752" w:rsidRDefault="00831720"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Pr>
                <w:rFonts w:ascii="Times New Roman" w:eastAsia="Times New Roman" w:hAnsi="Times New Roman" w:cs="Times New Roman"/>
                <w:b/>
                <w:bCs/>
                <w:kern w:val="36"/>
                <w:sz w:val="18"/>
                <w:szCs w:val="18"/>
                <w:lang w:eastAsia="fr-FR"/>
              </w:rPr>
              <w:t xml:space="preserve">Articles - DVI </w:t>
            </w:r>
            <w:r w:rsidR="0042669B">
              <w:rPr>
                <w:rFonts w:ascii="Times New Roman" w:eastAsia="Times New Roman" w:hAnsi="Times New Roman" w:cs="Times New Roman"/>
                <w:b/>
                <w:bCs/>
                <w:kern w:val="36"/>
                <w:sz w:val="18"/>
                <w:szCs w:val="18"/>
                <w:lang w:eastAsia="fr-FR"/>
              </w:rPr>
              <w:t>sociétal</w:t>
            </w:r>
            <w:r>
              <w:rPr>
                <w:rFonts w:ascii="Times New Roman" w:eastAsia="Times New Roman" w:hAnsi="Times New Roman" w:cs="Times New Roman"/>
                <w:b/>
                <w:bCs/>
                <w:kern w:val="36"/>
                <w:sz w:val="18"/>
                <w:szCs w:val="18"/>
                <w:lang w:eastAsia="fr-FR"/>
              </w:rPr>
              <w:t>e/environnementale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5D4752">
              <w:rPr>
                <w:rFonts w:ascii="Times New Roman" w:eastAsia="Times New Roman" w:hAnsi="Times New Roman" w:cs="Times New Roman"/>
                <w:b/>
                <w:bCs/>
                <w:kern w:val="36"/>
                <w:sz w:val="18"/>
                <w:szCs w:val="18"/>
                <w:lang w:eastAsia="fr-FR"/>
              </w:rPr>
              <w:t>Echantillon / Période / Résultats</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5D4752">
              <w:rPr>
                <w:rFonts w:ascii="Times New Roman" w:eastAsia="Times New Roman" w:hAnsi="Times New Roman" w:cs="Times New Roman"/>
                <w:b/>
                <w:bCs/>
                <w:kern w:val="36"/>
                <w:sz w:val="18"/>
                <w:szCs w:val="18"/>
                <w:lang w:eastAsia="fr-FR"/>
              </w:rPr>
              <w:t>Mesure de performance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5D4752">
              <w:rPr>
                <w:rFonts w:ascii="Times New Roman" w:eastAsia="Times New Roman" w:hAnsi="Times New Roman" w:cs="Times New Roman"/>
                <w:b/>
                <w:bCs/>
                <w:kern w:val="36"/>
                <w:sz w:val="18"/>
                <w:szCs w:val="18"/>
                <w:lang w:eastAsia="fr-FR"/>
              </w:rPr>
              <w:t>Indicateur de DVI</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Patten (1992)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21 firmes pétrolières / 1988-1989 / Relation négative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Impact de la marée noire de l’Exxon Valdez.</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de Wiseman basé sur les rapports annuels.</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Cho et al. (2006)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119 firmes américaines / 2002 / Relation négative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KLD (MSCI).</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de Wiseman basé sur les rapports annuels.</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De Villiers et Van Staden (2006)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139-221 firmes sud-africaines (dont entreprises minières) / 1994-2002</w:t>
            </w:r>
            <w:r>
              <w:rPr>
                <w:rFonts w:ascii="Times New Roman" w:eastAsia="Times New Roman" w:hAnsi="Times New Roman" w:cs="Times New Roman"/>
                <w:bCs/>
                <w:kern w:val="36"/>
                <w:sz w:val="18"/>
                <w:szCs w:val="18"/>
                <w:lang w:eastAsia="fr-FR"/>
              </w:rPr>
              <w:t xml:space="preserve"> / Relation négative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Analyse descriptive des tendances de </w:t>
            </w:r>
            <w:proofErr w:type="spellStart"/>
            <w:r w:rsidRPr="005D4752">
              <w:rPr>
                <w:rFonts w:ascii="Times New Roman" w:eastAsia="Times New Roman" w:hAnsi="Times New Roman" w:cs="Times New Roman"/>
                <w:bCs/>
                <w:kern w:val="36"/>
                <w:sz w:val="18"/>
                <w:szCs w:val="18"/>
                <w:lang w:eastAsia="fr-FR"/>
              </w:rPr>
              <w:t>reporting</w:t>
            </w:r>
            <w:proofErr w:type="spellEnd"/>
            <w:r w:rsidRPr="005D4752">
              <w:rPr>
                <w:rFonts w:ascii="Times New Roman" w:eastAsia="Times New Roman" w:hAnsi="Times New Roman" w:cs="Times New Roman"/>
                <w:bCs/>
                <w:kern w:val="36"/>
                <w:sz w:val="18"/>
                <w:szCs w:val="18"/>
                <w:lang w:eastAsia="fr-FR"/>
              </w:rPr>
              <w:t>.</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avec 18 items distinguant des informations générales et spécifiques (rapports annuels).</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Clarkson</w:t>
            </w:r>
            <w:proofErr w:type="spellEnd"/>
            <w:r w:rsidRPr="005D4752">
              <w:rPr>
                <w:rFonts w:ascii="Times New Roman" w:eastAsia="Times New Roman" w:hAnsi="Times New Roman" w:cs="Times New Roman"/>
                <w:bCs/>
                <w:kern w:val="36"/>
                <w:sz w:val="18"/>
                <w:szCs w:val="18"/>
                <w:lang w:eastAsia="fr-FR"/>
              </w:rPr>
              <w:t xml:space="preserve"> et al. (2008)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191 firmes américaines parmi les 5 secteurs les plus polluants / 2003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Emission et traitement de déchets. TRI </w:t>
            </w:r>
            <w:proofErr w:type="spellStart"/>
            <w:r w:rsidRPr="005D4752">
              <w:rPr>
                <w:rFonts w:ascii="Times New Roman" w:eastAsia="Times New Roman" w:hAnsi="Times New Roman" w:cs="Times New Roman"/>
                <w:bCs/>
                <w:kern w:val="36"/>
                <w:sz w:val="18"/>
                <w:szCs w:val="18"/>
                <w:lang w:eastAsia="fr-FR"/>
              </w:rPr>
              <w:t>database</w:t>
            </w:r>
            <w:proofErr w:type="spellEnd"/>
            <w:r w:rsidRPr="005D4752">
              <w:rPr>
                <w:rFonts w:ascii="Times New Roman" w:eastAsia="Times New Roman" w:hAnsi="Times New Roman" w:cs="Times New Roman"/>
                <w:bCs/>
                <w:kern w:val="36"/>
                <w:sz w:val="18"/>
                <w:szCs w:val="18"/>
                <w:lang w:eastAsia="fr-FR"/>
              </w:rPr>
              <w:t>.</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95 items issus du GRI.</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Dawkins</w:t>
            </w:r>
            <w:proofErr w:type="spellEnd"/>
            <w:r w:rsidRPr="005D4752">
              <w:rPr>
                <w:rFonts w:ascii="Times New Roman" w:eastAsia="Times New Roman" w:hAnsi="Times New Roman" w:cs="Times New Roman"/>
                <w:bCs/>
                <w:kern w:val="36"/>
                <w:sz w:val="18"/>
                <w:szCs w:val="18"/>
                <w:lang w:eastAsia="fr-FR"/>
              </w:rPr>
              <w:t xml:space="preserve"> et </w:t>
            </w:r>
            <w:proofErr w:type="spellStart"/>
            <w:r w:rsidRPr="005D4752">
              <w:rPr>
                <w:rFonts w:ascii="Times New Roman" w:eastAsia="Times New Roman" w:hAnsi="Times New Roman" w:cs="Times New Roman"/>
                <w:bCs/>
                <w:kern w:val="36"/>
                <w:sz w:val="18"/>
                <w:szCs w:val="18"/>
                <w:lang w:eastAsia="fr-FR"/>
              </w:rPr>
              <w:t>Fraas</w:t>
            </w:r>
            <w:proofErr w:type="spellEnd"/>
            <w:r w:rsidRPr="005D4752">
              <w:rPr>
                <w:rFonts w:ascii="Times New Roman" w:eastAsia="Times New Roman" w:hAnsi="Times New Roman" w:cs="Times New Roman"/>
                <w:bCs/>
                <w:kern w:val="36"/>
                <w:sz w:val="18"/>
                <w:szCs w:val="18"/>
                <w:lang w:eastAsia="fr-FR"/>
              </w:rPr>
              <w:t xml:space="preserve"> (2011)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344 firmes américaines / 2006-2008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Moyenne des ratings KLD (MSCI) </w:t>
            </w:r>
            <w:proofErr w:type="spellStart"/>
            <w:r w:rsidRPr="005D4752">
              <w:rPr>
                <w:rFonts w:ascii="Times New Roman" w:eastAsia="Times New Roman" w:hAnsi="Times New Roman" w:cs="Times New Roman"/>
                <w:bCs/>
                <w:kern w:val="36"/>
                <w:sz w:val="18"/>
                <w:szCs w:val="18"/>
                <w:lang w:eastAsia="fr-FR"/>
              </w:rPr>
              <w:t>analytics</w:t>
            </w:r>
            <w:proofErr w:type="spellEnd"/>
            <w:r w:rsidRPr="005D4752">
              <w:rPr>
                <w:rFonts w:ascii="Times New Roman" w:eastAsia="Times New Roman" w:hAnsi="Times New Roman" w:cs="Times New Roman"/>
                <w:bCs/>
                <w:kern w:val="36"/>
                <w:sz w:val="18"/>
                <w:szCs w:val="18"/>
                <w:lang w:eastAsia="fr-FR"/>
              </w:rPr>
              <w:t xml:space="preserve"> et </w:t>
            </w:r>
            <w:proofErr w:type="spellStart"/>
            <w:r w:rsidRPr="005D4752">
              <w:rPr>
                <w:rFonts w:ascii="Times New Roman" w:eastAsia="Times New Roman" w:hAnsi="Times New Roman" w:cs="Times New Roman"/>
                <w:bCs/>
                <w:kern w:val="36"/>
                <w:sz w:val="18"/>
                <w:szCs w:val="18"/>
                <w:lang w:eastAsia="fr-FR"/>
              </w:rPr>
              <w:t>Trucost</w:t>
            </w:r>
            <w:proofErr w:type="spellEnd"/>
            <w:r w:rsidRPr="005D4752">
              <w:rPr>
                <w:rFonts w:ascii="Times New Roman" w:eastAsia="Times New Roman" w:hAnsi="Times New Roman" w:cs="Times New Roman"/>
                <w:bCs/>
                <w:kern w:val="36"/>
                <w:sz w:val="18"/>
                <w:szCs w:val="18"/>
                <w:lang w:eastAsia="fr-FR"/>
              </w:rPr>
              <w:t>.</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Echelle de réponse au questionnaire </w:t>
            </w:r>
            <w:proofErr w:type="spellStart"/>
            <w:r w:rsidRPr="005D4752">
              <w:rPr>
                <w:rFonts w:ascii="Times New Roman" w:eastAsia="Times New Roman" w:hAnsi="Times New Roman" w:cs="Times New Roman"/>
                <w:bCs/>
                <w:kern w:val="36"/>
                <w:sz w:val="18"/>
                <w:szCs w:val="18"/>
                <w:lang w:eastAsia="fr-FR"/>
              </w:rPr>
              <w:t>Ceres</w:t>
            </w:r>
            <w:proofErr w:type="spellEnd"/>
            <w:r w:rsidRPr="005D4752">
              <w:rPr>
                <w:rFonts w:ascii="Times New Roman" w:eastAsia="Times New Roman" w:hAnsi="Times New Roman" w:cs="Times New Roman"/>
                <w:bCs/>
                <w:kern w:val="36"/>
                <w:sz w:val="18"/>
                <w:szCs w:val="18"/>
                <w:lang w:eastAsia="fr-FR"/>
              </w:rPr>
              <w:t xml:space="preserve"> (CDP), complétée d’une analyse des sites Web.</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Mahoney</w:t>
            </w:r>
            <w:proofErr w:type="spellEnd"/>
            <w:r w:rsidRPr="005D4752">
              <w:rPr>
                <w:rFonts w:ascii="Times New Roman" w:eastAsia="Times New Roman" w:hAnsi="Times New Roman" w:cs="Times New Roman"/>
                <w:bCs/>
                <w:kern w:val="36"/>
                <w:sz w:val="18"/>
                <w:szCs w:val="18"/>
                <w:lang w:eastAsia="fr-FR"/>
              </w:rPr>
              <w:t xml:space="preserve"> et al. (2013) – sociétal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312 firmes américaines / 2006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KLD (MSCI).</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Diffusion d’un rapport RSE.</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Luo</w:t>
            </w:r>
            <w:proofErr w:type="spellEnd"/>
            <w:r w:rsidRPr="005D4752">
              <w:rPr>
                <w:rFonts w:ascii="Times New Roman" w:eastAsia="Times New Roman" w:hAnsi="Times New Roman" w:cs="Times New Roman"/>
                <w:bCs/>
                <w:kern w:val="36"/>
                <w:sz w:val="18"/>
                <w:szCs w:val="18"/>
                <w:lang w:eastAsia="fr-FR"/>
              </w:rPr>
              <w:t xml:space="preserve"> et Tang (2014)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474 firmes américaines, anglaises et australiennes / 2010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Emissions scope 1 et 2 des firmes et intensité carbone des secteurs, minorée des diminutions récentes d’émissions.</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Analyse de contenu : rapports CDP et informations carbone (mécanismes de contrôle, stratégie, audit, comptabilité…).</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Hummel et Schlick (2016) – sociétal et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195 firmes européennes de 7 pays / 2011-2013 / Relation non linéaire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4 indicateurs sociaux et 4 indicateurs environnementaux, issus du GRI.</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Score issu des rubriques principales du GRI.</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Giannarakis</w:t>
            </w:r>
            <w:proofErr w:type="spellEnd"/>
            <w:r w:rsidRPr="005D4752">
              <w:rPr>
                <w:rFonts w:ascii="Times New Roman" w:eastAsia="Times New Roman" w:hAnsi="Times New Roman" w:cs="Times New Roman"/>
                <w:bCs/>
                <w:kern w:val="36"/>
                <w:sz w:val="18"/>
                <w:szCs w:val="18"/>
                <w:lang w:eastAsia="fr-FR"/>
              </w:rPr>
              <w:t xml:space="preserve"> et al. (2017)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215 firmes européennes / 2014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Emissions scope 1 et 2 des firmes et intensité carbone des secteurs.</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Items qualitatifs et quantitatifs du CDP.</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Zeeshan et al. (2017)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78 firmes pakistanaises / 2014-2015 / Relation non linéaire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4 critères : prix environnemental, norme ISO, classification nationale des entreprises, pénalités et amendes environnementales.</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Analyse de contenu des rapports annuels : intégrés, soutenabilité, environnemental, social.</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Luo</w:t>
            </w:r>
            <w:proofErr w:type="spellEnd"/>
            <w:r w:rsidRPr="005D4752">
              <w:rPr>
                <w:rFonts w:ascii="Times New Roman" w:eastAsia="Times New Roman" w:hAnsi="Times New Roman" w:cs="Times New Roman"/>
                <w:bCs/>
                <w:kern w:val="36"/>
                <w:sz w:val="18"/>
                <w:szCs w:val="18"/>
                <w:lang w:eastAsia="fr-FR"/>
              </w:rPr>
              <w:t xml:space="preserve"> (2019)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1 956 observations de 32 pays (177 à 265 firmes) / 2008-2015 / Relation négative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Emissions scope 1 et 2 (CDP).</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Score </w:t>
            </w:r>
            <w:r>
              <w:rPr>
                <w:rFonts w:ascii="Times New Roman" w:eastAsia="Times New Roman" w:hAnsi="Times New Roman" w:cs="Times New Roman"/>
                <w:bCs/>
                <w:kern w:val="36"/>
                <w:sz w:val="18"/>
                <w:szCs w:val="18"/>
                <w:lang w:eastAsia="fr-FR"/>
              </w:rPr>
              <w:t xml:space="preserve">sur 100 à partir du contenu du </w:t>
            </w:r>
            <w:r w:rsidRPr="005D4752">
              <w:rPr>
                <w:rFonts w:ascii="Times New Roman" w:eastAsia="Times New Roman" w:hAnsi="Times New Roman" w:cs="Times New Roman"/>
                <w:bCs/>
                <w:kern w:val="36"/>
                <w:sz w:val="18"/>
                <w:szCs w:val="18"/>
                <w:lang w:eastAsia="fr-FR"/>
              </w:rPr>
              <w:t>questionnaire CDP.</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Acar</w:t>
            </w:r>
            <w:proofErr w:type="spellEnd"/>
            <w:r w:rsidRPr="005D4752">
              <w:rPr>
                <w:rFonts w:ascii="Times New Roman" w:eastAsia="Times New Roman" w:hAnsi="Times New Roman" w:cs="Times New Roman"/>
                <w:bCs/>
                <w:kern w:val="36"/>
                <w:sz w:val="18"/>
                <w:szCs w:val="18"/>
                <w:lang w:eastAsia="fr-FR"/>
              </w:rPr>
              <w:t xml:space="preserve"> et </w:t>
            </w:r>
            <w:proofErr w:type="spellStart"/>
            <w:r w:rsidRPr="005D4752">
              <w:rPr>
                <w:rFonts w:ascii="Times New Roman" w:eastAsia="Times New Roman" w:hAnsi="Times New Roman" w:cs="Times New Roman"/>
                <w:bCs/>
                <w:kern w:val="36"/>
                <w:sz w:val="18"/>
                <w:szCs w:val="18"/>
                <w:lang w:eastAsia="fr-FR"/>
              </w:rPr>
              <w:t>Temiz</w:t>
            </w:r>
            <w:proofErr w:type="spellEnd"/>
            <w:r w:rsidRPr="005D4752">
              <w:rPr>
                <w:rFonts w:ascii="Times New Roman" w:eastAsia="Times New Roman" w:hAnsi="Times New Roman" w:cs="Times New Roman"/>
                <w:bCs/>
                <w:kern w:val="36"/>
                <w:sz w:val="18"/>
                <w:szCs w:val="18"/>
                <w:lang w:eastAsia="fr-FR"/>
              </w:rPr>
              <w:t xml:space="preserve"> (2020)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133 firmes turques parmi les 7 secteurs les plus polluants / 2016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Emission et traitement de déchets. TRI </w:t>
            </w:r>
            <w:proofErr w:type="spellStart"/>
            <w:r w:rsidRPr="005D4752">
              <w:rPr>
                <w:rFonts w:ascii="Times New Roman" w:eastAsia="Times New Roman" w:hAnsi="Times New Roman" w:cs="Times New Roman"/>
                <w:bCs/>
                <w:kern w:val="36"/>
                <w:sz w:val="18"/>
                <w:szCs w:val="18"/>
                <w:lang w:eastAsia="fr-FR"/>
              </w:rPr>
              <w:t>database</w:t>
            </w:r>
            <w:proofErr w:type="spellEnd"/>
            <w:r w:rsidRPr="005D4752">
              <w:rPr>
                <w:rFonts w:ascii="Times New Roman" w:eastAsia="Times New Roman" w:hAnsi="Times New Roman" w:cs="Times New Roman"/>
                <w:bCs/>
                <w:kern w:val="36"/>
                <w:sz w:val="18"/>
                <w:szCs w:val="18"/>
                <w:lang w:eastAsia="fr-FR"/>
              </w:rPr>
              <w:t>.</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de Wiseman basé sur les standards GRI.</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Bui</w:t>
            </w:r>
            <w:proofErr w:type="spellEnd"/>
            <w:r w:rsidRPr="005D4752">
              <w:rPr>
                <w:rFonts w:ascii="Times New Roman" w:eastAsia="Times New Roman" w:hAnsi="Times New Roman" w:cs="Times New Roman"/>
                <w:bCs/>
                <w:kern w:val="36"/>
                <w:sz w:val="18"/>
                <w:szCs w:val="18"/>
                <w:lang w:eastAsia="fr-FR"/>
              </w:rPr>
              <w:t xml:space="preserve"> et al. (2020)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361 observations (176-185 firmes américaines) / 2014-2015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Intensité des émissions et variation de cette intensité par rapport à l’année N-1.</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Score sur 100 à partir du contenu du questionnaire CDP.</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Cong</w:t>
            </w:r>
            <w:proofErr w:type="spellEnd"/>
            <w:r w:rsidRPr="005D4752">
              <w:rPr>
                <w:rFonts w:ascii="Times New Roman" w:eastAsia="Times New Roman" w:hAnsi="Times New Roman" w:cs="Times New Roman"/>
                <w:bCs/>
                <w:kern w:val="36"/>
                <w:sz w:val="18"/>
                <w:szCs w:val="18"/>
                <w:lang w:eastAsia="fr-FR"/>
              </w:rPr>
              <w:t xml:space="preserve"> et al. (2020)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134-136 firmes américaines / 2010-2011 / Relation négative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Emissions GES. Rapports EPA et sites Web.</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Indice spécifique avec 19 items.</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lastRenderedPageBreak/>
              <w:t>Lu et Wang (2020) – sociétal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1 870 firmes de 25 pays (12 208 observations) / 2010-2017 /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Intensité des émissions carbone score comparé à partir des données de </w:t>
            </w:r>
            <w:proofErr w:type="spellStart"/>
            <w:r w:rsidRPr="005D4752">
              <w:rPr>
                <w:rFonts w:ascii="Times New Roman" w:eastAsia="Times New Roman" w:hAnsi="Times New Roman" w:cs="Times New Roman"/>
                <w:bCs/>
                <w:kern w:val="36"/>
                <w:sz w:val="18"/>
                <w:szCs w:val="18"/>
                <w:lang w:eastAsia="fr-FR"/>
              </w:rPr>
              <w:t>Sustainalytics</w:t>
            </w:r>
            <w:proofErr w:type="spellEnd"/>
            <w:r w:rsidRPr="005D4752">
              <w:rPr>
                <w:rFonts w:ascii="Times New Roman" w:eastAsia="Times New Roman" w:hAnsi="Times New Roman" w:cs="Times New Roman"/>
                <w:bCs/>
                <w:kern w:val="36"/>
                <w:sz w:val="18"/>
                <w:szCs w:val="18"/>
                <w:lang w:eastAsia="fr-FR"/>
              </w:rPr>
              <w:t>.</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Score sur le respect des standards et l’exhaustivité des réponses au GRI.</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Ghitti</w:t>
            </w:r>
            <w:proofErr w:type="spellEnd"/>
            <w:r w:rsidRPr="005D4752">
              <w:rPr>
                <w:rFonts w:ascii="Times New Roman" w:eastAsia="Times New Roman" w:hAnsi="Times New Roman" w:cs="Times New Roman"/>
                <w:bCs/>
                <w:kern w:val="36"/>
                <w:sz w:val="18"/>
                <w:szCs w:val="18"/>
                <w:lang w:eastAsia="fr-FR"/>
              </w:rPr>
              <w:t xml:space="preserve"> at al. (2020) – environnemental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500 firmes américaines / 2012-2017 /</w:t>
            </w:r>
            <w:r>
              <w:rPr>
                <w:rFonts w:ascii="Times New Roman" w:eastAsia="Times New Roman" w:hAnsi="Times New Roman" w:cs="Times New Roman"/>
                <w:bCs/>
                <w:kern w:val="36"/>
                <w:sz w:val="18"/>
                <w:szCs w:val="18"/>
                <w:lang w:eastAsia="fr-FR"/>
              </w:rPr>
              <w:t xml:space="preserve"> Relation positive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 xml:space="preserve">Newsweek </w:t>
            </w:r>
            <w:proofErr w:type="spellStart"/>
            <w:r w:rsidRPr="005D4752">
              <w:rPr>
                <w:rFonts w:ascii="Times New Roman" w:eastAsia="Times New Roman" w:hAnsi="Times New Roman" w:cs="Times New Roman"/>
                <w:bCs/>
                <w:kern w:val="36"/>
                <w:sz w:val="18"/>
                <w:szCs w:val="18"/>
                <w:lang w:eastAsia="fr-FR"/>
              </w:rPr>
              <w:t>sustainability</w:t>
            </w:r>
            <w:proofErr w:type="spellEnd"/>
            <w:r w:rsidRPr="005D4752">
              <w:rPr>
                <w:rFonts w:ascii="Times New Roman" w:eastAsia="Times New Roman" w:hAnsi="Times New Roman" w:cs="Times New Roman"/>
                <w:bCs/>
                <w:kern w:val="36"/>
                <w:sz w:val="18"/>
                <w:szCs w:val="18"/>
                <w:lang w:eastAsia="fr-FR"/>
              </w:rPr>
              <w:t xml:space="preserve"> </w:t>
            </w:r>
            <w:proofErr w:type="spellStart"/>
            <w:r w:rsidRPr="005D4752">
              <w:rPr>
                <w:rFonts w:ascii="Times New Roman" w:eastAsia="Times New Roman" w:hAnsi="Times New Roman" w:cs="Times New Roman"/>
                <w:bCs/>
                <w:kern w:val="36"/>
                <w:sz w:val="18"/>
                <w:szCs w:val="18"/>
                <w:lang w:eastAsia="fr-FR"/>
              </w:rPr>
              <w:t>ranking</w:t>
            </w:r>
            <w:proofErr w:type="spellEnd"/>
            <w:r w:rsidRPr="005D4752">
              <w:rPr>
                <w:rFonts w:ascii="Times New Roman" w:eastAsia="Times New Roman" w:hAnsi="Times New Roman" w:cs="Times New Roman"/>
                <w:bCs/>
                <w:kern w:val="36"/>
                <w:sz w:val="18"/>
                <w:szCs w:val="18"/>
                <w:lang w:eastAsia="fr-FR"/>
              </w:rPr>
              <w:t>.</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Score « </w:t>
            </w:r>
            <w:proofErr w:type="spellStart"/>
            <w:r w:rsidRPr="005D4752">
              <w:rPr>
                <w:rFonts w:ascii="Times New Roman" w:eastAsia="Times New Roman" w:hAnsi="Times New Roman" w:cs="Times New Roman"/>
                <w:bCs/>
                <w:kern w:val="36"/>
                <w:sz w:val="18"/>
                <w:szCs w:val="18"/>
                <w:lang w:eastAsia="fr-FR"/>
              </w:rPr>
              <w:t>greenwashing</w:t>
            </w:r>
            <w:proofErr w:type="spellEnd"/>
            <w:r w:rsidRPr="005D4752">
              <w:rPr>
                <w:rFonts w:ascii="Times New Roman" w:eastAsia="Times New Roman" w:hAnsi="Times New Roman" w:cs="Times New Roman"/>
                <w:bCs/>
                <w:kern w:val="36"/>
                <w:sz w:val="18"/>
                <w:szCs w:val="18"/>
                <w:lang w:eastAsia="fr-FR"/>
              </w:rPr>
              <w:t xml:space="preserve"> » : différence entre Newsweek green </w:t>
            </w:r>
            <w:proofErr w:type="spellStart"/>
            <w:r w:rsidRPr="005D4752">
              <w:rPr>
                <w:rFonts w:ascii="Times New Roman" w:eastAsia="Times New Roman" w:hAnsi="Times New Roman" w:cs="Times New Roman"/>
                <w:bCs/>
                <w:kern w:val="36"/>
                <w:sz w:val="18"/>
                <w:szCs w:val="18"/>
                <w:lang w:eastAsia="fr-FR"/>
              </w:rPr>
              <w:t>ranking</w:t>
            </w:r>
            <w:proofErr w:type="spellEnd"/>
            <w:r w:rsidRPr="005D4752">
              <w:rPr>
                <w:rFonts w:ascii="Times New Roman" w:eastAsia="Times New Roman" w:hAnsi="Times New Roman" w:cs="Times New Roman"/>
                <w:bCs/>
                <w:kern w:val="36"/>
                <w:sz w:val="18"/>
                <w:szCs w:val="18"/>
                <w:lang w:eastAsia="fr-FR"/>
              </w:rPr>
              <w:t xml:space="preserve"> et le score ESG </w:t>
            </w:r>
            <w:proofErr w:type="spellStart"/>
            <w:r w:rsidRPr="005D4752">
              <w:rPr>
                <w:rFonts w:ascii="Times New Roman" w:eastAsia="Times New Roman" w:hAnsi="Times New Roman" w:cs="Times New Roman"/>
                <w:bCs/>
                <w:kern w:val="36"/>
                <w:sz w:val="18"/>
                <w:szCs w:val="18"/>
                <w:lang w:eastAsia="fr-FR"/>
              </w:rPr>
              <w:t>Datastream</w:t>
            </w:r>
            <w:proofErr w:type="spellEnd"/>
            <w:r w:rsidRPr="005D4752">
              <w:rPr>
                <w:rFonts w:ascii="Times New Roman" w:eastAsia="Times New Roman" w:hAnsi="Times New Roman" w:cs="Times New Roman"/>
                <w:bCs/>
                <w:kern w:val="36"/>
                <w:sz w:val="18"/>
                <w:szCs w:val="18"/>
                <w:lang w:eastAsia="fr-FR"/>
              </w:rPr>
              <w:t>.</w:t>
            </w:r>
          </w:p>
        </w:tc>
      </w:tr>
      <w:tr w:rsidR="0042669B" w:rsidTr="0042669B">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5D4752">
              <w:rPr>
                <w:rFonts w:ascii="Times New Roman" w:eastAsia="Times New Roman" w:hAnsi="Times New Roman" w:cs="Times New Roman"/>
                <w:bCs/>
                <w:kern w:val="36"/>
                <w:sz w:val="18"/>
                <w:szCs w:val="18"/>
                <w:lang w:eastAsia="fr-FR"/>
              </w:rPr>
              <w:t>Yu</w:t>
            </w:r>
            <w:proofErr w:type="spellEnd"/>
            <w:r w:rsidRPr="005D4752">
              <w:rPr>
                <w:rFonts w:ascii="Times New Roman" w:eastAsia="Times New Roman" w:hAnsi="Times New Roman" w:cs="Times New Roman"/>
                <w:bCs/>
                <w:kern w:val="36"/>
                <w:sz w:val="18"/>
                <w:szCs w:val="18"/>
                <w:lang w:eastAsia="fr-FR"/>
              </w:rPr>
              <w:t xml:space="preserve"> et al. (2020) – sociétal</w:t>
            </w:r>
            <w:r w:rsidR="00831720">
              <w:rPr>
                <w:rFonts w:ascii="Times New Roman" w:eastAsia="Times New Roman" w:hAnsi="Times New Roman" w:cs="Times New Roman"/>
                <w:bCs/>
                <w:kern w:val="36"/>
                <w:sz w:val="18"/>
                <w:szCs w:val="18"/>
                <w:lang w:eastAsia="fr-FR"/>
              </w:rPr>
              <w:t>e</w:t>
            </w:r>
          </w:p>
        </w:tc>
        <w:tc>
          <w:tcPr>
            <w:tcW w:w="2265"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1 925 firmes de 47 pays / 2012-2016 / Relation négative</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Score ESG Bloomberg.</w:t>
            </w:r>
          </w:p>
        </w:tc>
        <w:tc>
          <w:tcPr>
            <w:tcW w:w="2266" w:type="dxa"/>
          </w:tcPr>
          <w:p w:rsidR="0042669B" w:rsidRPr="005D4752"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5D4752">
              <w:rPr>
                <w:rFonts w:ascii="Times New Roman" w:eastAsia="Times New Roman" w:hAnsi="Times New Roman" w:cs="Times New Roman"/>
                <w:bCs/>
                <w:kern w:val="36"/>
                <w:sz w:val="18"/>
                <w:szCs w:val="18"/>
                <w:lang w:eastAsia="fr-FR"/>
              </w:rPr>
              <w:t>Score « </w:t>
            </w:r>
            <w:proofErr w:type="spellStart"/>
            <w:r w:rsidRPr="005D4752">
              <w:rPr>
                <w:rFonts w:ascii="Times New Roman" w:eastAsia="Times New Roman" w:hAnsi="Times New Roman" w:cs="Times New Roman"/>
                <w:bCs/>
                <w:kern w:val="36"/>
                <w:sz w:val="18"/>
                <w:szCs w:val="18"/>
                <w:lang w:eastAsia="fr-FR"/>
              </w:rPr>
              <w:t>greenwashing</w:t>
            </w:r>
            <w:proofErr w:type="spellEnd"/>
            <w:r w:rsidRPr="005D4752">
              <w:rPr>
                <w:rFonts w:ascii="Times New Roman" w:eastAsia="Times New Roman" w:hAnsi="Times New Roman" w:cs="Times New Roman"/>
                <w:bCs/>
                <w:kern w:val="36"/>
                <w:sz w:val="18"/>
                <w:szCs w:val="18"/>
                <w:lang w:eastAsia="fr-FR"/>
              </w:rPr>
              <w:t> » : analyse comparative à partir du score ESG Bloomberg et du score ESG Asset4.</w:t>
            </w:r>
          </w:p>
        </w:tc>
      </w:tr>
    </w:tbl>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Pr>
          <w:rFonts w:ascii="Times New Roman" w:eastAsia="Times New Roman" w:hAnsi="Times New Roman" w:cs="Times New Roman"/>
          <w:b/>
          <w:bCs/>
          <w:kern w:val="36"/>
          <w:sz w:val="24"/>
          <w:szCs w:val="24"/>
          <w:lang w:eastAsia="fr-FR"/>
        </w:rPr>
        <w:t xml:space="preserve">2.2 </w:t>
      </w:r>
      <w:r w:rsidR="00EB3251" w:rsidRPr="00255584">
        <w:rPr>
          <w:rFonts w:ascii="Times New Roman" w:eastAsia="Times New Roman" w:hAnsi="Times New Roman" w:cs="Times New Roman"/>
          <w:b/>
          <w:bCs/>
          <w:kern w:val="36"/>
          <w:sz w:val="24"/>
          <w:szCs w:val="24"/>
          <w:lang w:eastAsia="fr-FR"/>
        </w:rPr>
        <w:t>Hypothèses</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Si l’on se concentre sur les études consacrées spécifiquement aux banques, le nombre d’articles reste limité. Ils s’intéresse</w:t>
      </w:r>
      <w:r>
        <w:rPr>
          <w:rFonts w:ascii="Times New Roman" w:eastAsia="Times New Roman" w:hAnsi="Times New Roman" w:cs="Times New Roman"/>
          <w:bCs/>
          <w:kern w:val="36"/>
          <w:sz w:val="24"/>
          <w:szCs w:val="24"/>
          <w:lang w:eastAsia="fr-FR"/>
        </w:rPr>
        <w:t xml:space="preserve">nt aux déterminants de la DVI </w:t>
      </w:r>
      <w:r w:rsidR="00151502">
        <w:rPr>
          <w:rFonts w:ascii="Times New Roman" w:eastAsia="Times New Roman" w:hAnsi="Times New Roman" w:cs="Times New Roman"/>
          <w:bCs/>
          <w:kern w:val="36"/>
          <w:sz w:val="24"/>
          <w:szCs w:val="24"/>
          <w:lang w:eastAsia="fr-FR"/>
        </w:rPr>
        <w:t>(environnementale :</w:t>
      </w:r>
      <w:r w:rsidR="00151502" w:rsidRPr="00151502">
        <w:rPr>
          <w:rFonts w:ascii="Times New Roman" w:eastAsia="Times New Roman" w:hAnsi="Times New Roman" w:cs="Times New Roman"/>
          <w:bCs/>
          <w:kern w:val="36"/>
          <w:sz w:val="24"/>
          <w:szCs w:val="24"/>
          <w:lang w:eastAsia="fr-FR"/>
        </w:rPr>
        <w:t xml:space="preserve"> </w:t>
      </w:r>
      <w:proofErr w:type="spellStart"/>
      <w:r w:rsidR="00151502">
        <w:rPr>
          <w:rFonts w:ascii="Times New Roman" w:eastAsia="Times New Roman" w:hAnsi="Times New Roman" w:cs="Times New Roman"/>
          <w:bCs/>
          <w:kern w:val="36"/>
          <w:sz w:val="24"/>
          <w:szCs w:val="24"/>
          <w:lang w:eastAsia="fr-FR"/>
        </w:rPr>
        <w:t>Hossain</w:t>
      </w:r>
      <w:proofErr w:type="spellEnd"/>
      <w:r w:rsidR="00151502">
        <w:rPr>
          <w:rFonts w:ascii="Times New Roman" w:eastAsia="Times New Roman" w:hAnsi="Times New Roman" w:cs="Times New Roman"/>
          <w:bCs/>
          <w:kern w:val="36"/>
          <w:sz w:val="24"/>
          <w:szCs w:val="24"/>
          <w:lang w:eastAsia="fr-FR"/>
        </w:rPr>
        <w:t xml:space="preserve"> et </w:t>
      </w:r>
      <w:proofErr w:type="spellStart"/>
      <w:r w:rsidR="00151502">
        <w:rPr>
          <w:rFonts w:ascii="Times New Roman" w:eastAsia="Times New Roman" w:hAnsi="Times New Roman" w:cs="Times New Roman"/>
          <w:bCs/>
          <w:kern w:val="36"/>
          <w:sz w:val="24"/>
          <w:szCs w:val="24"/>
          <w:lang w:eastAsia="fr-FR"/>
        </w:rPr>
        <w:t>Reaz</w:t>
      </w:r>
      <w:proofErr w:type="spellEnd"/>
      <w:r w:rsidR="00151502">
        <w:rPr>
          <w:rFonts w:ascii="Times New Roman" w:eastAsia="Times New Roman" w:hAnsi="Times New Roman" w:cs="Times New Roman"/>
          <w:bCs/>
          <w:kern w:val="36"/>
          <w:sz w:val="24"/>
          <w:szCs w:val="24"/>
          <w:lang w:eastAsia="fr-FR"/>
        </w:rPr>
        <w:t xml:space="preserve"> 2007 ; </w:t>
      </w:r>
      <w:proofErr w:type="spellStart"/>
      <w:r w:rsidR="00151502">
        <w:rPr>
          <w:rFonts w:ascii="Times New Roman" w:eastAsia="Times New Roman" w:hAnsi="Times New Roman" w:cs="Times New Roman"/>
          <w:bCs/>
          <w:kern w:val="36"/>
          <w:sz w:val="24"/>
          <w:szCs w:val="24"/>
          <w:lang w:eastAsia="fr-FR"/>
        </w:rPr>
        <w:t>Kiliç</w:t>
      </w:r>
      <w:proofErr w:type="spellEnd"/>
      <w:r w:rsidR="00151502">
        <w:rPr>
          <w:rFonts w:ascii="Times New Roman" w:eastAsia="Times New Roman" w:hAnsi="Times New Roman" w:cs="Times New Roman"/>
          <w:bCs/>
          <w:kern w:val="36"/>
          <w:sz w:val="24"/>
          <w:szCs w:val="24"/>
          <w:lang w:eastAsia="fr-FR"/>
        </w:rPr>
        <w:t xml:space="preserve"> et </w:t>
      </w:r>
      <w:proofErr w:type="spellStart"/>
      <w:r w:rsidR="00151502">
        <w:rPr>
          <w:rFonts w:ascii="Times New Roman" w:eastAsia="Times New Roman" w:hAnsi="Times New Roman" w:cs="Times New Roman"/>
          <w:bCs/>
          <w:kern w:val="36"/>
          <w:sz w:val="24"/>
          <w:szCs w:val="24"/>
          <w:lang w:eastAsia="fr-FR"/>
        </w:rPr>
        <w:t>Kuzey</w:t>
      </w:r>
      <w:proofErr w:type="spellEnd"/>
      <w:r w:rsidR="00151502">
        <w:rPr>
          <w:rFonts w:ascii="Times New Roman" w:eastAsia="Times New Roman" w:hAnsi="Times New Roman" w:cs="Times New Roman"/>
          <w:bCs/>
          <w:kern w:val="36"/>
          <w:sz w:val="24"/>
          <w:szCs w:val="24"/>
          <w:lang w:eastAsia="fr-FR"/>
        </w:rPr>
        <w:t xml:space="preserve"> 2019 ; </w:t>
      </w:r>
      <w:proofErr w:type="spellStart"/>
      <w:r w:rsidR="00151502">
        <w:rPr>
          <w:rFonts w:ascii="Times New Roman" w:eastAsia="Times New Roman" w:hAnsi="Times New Roman" w:cs="Times New Roman"/>
          <w:bCs/>
          <w:kern w:val="36"/>
          <w:sz w:val="24"/>
          <w:szCs w:val="24"/>
          <w:lang w:eastAsia="fr-FR"/>
        </w:rPr>
        <w:t>Zanga</w:t>
      </w:r>
      <w:proofErr w:type="spellEnd"/>
      <w:r w:rsidR="00151502">
        <w:rPr>
          <w:rFonts w:ascii="Times New Roman" w:eastAsia="Times New Roman" w:hAnsi="Times New Roman" w:cs="Times New Roman"/>
          <w:bCs/>
          <w:kern w:val="36"/>
          <w:sz w:val="24"/>
          <w:szCs w:val="24"/>
          <w:lang w:eastAsia="fr-FR"/>
        </w:rPr>
        <w:t xml:space="preserve"> </w:t>
      </w:r>
      <w:proofErr w:type="spellStart"/>
      <w:r w:rsidR="00151502">
        <w:rPr>
          <w:rFonts w:ascii="Times New Roman" w:eastAsia="Times New Roman" w:hAnsi="Times New Roman" w:cs="Times New Roman"/>
          <w:bCs/>
          <w:kern w:val="36"/>
          <w:sz w:val="24"/>
          <w:szCs w:val="24"/>
          <w:lang w:eastAsia="fr-FR"/>
        </w:rPr>
        <w:t>Ongbwa</w:t>
      </w:r>
      <w:proofErr w:type="spellEnd"/>
      <w:r w:rsidR="00151502">
        <w:rPr>
          <w:rFonts w:ascii="Times New Roman" w:eastAsia="Times New Roman" w:hAnsi="Times New Roman" w:cs="Times New Roman"/>
          <w:bCs/>
          <w:kern w:val="36"/>
          <w:sz w:val="24"/>
          <w:szCs w:val="24"/>
          <w:lang w:eastAsia="fr-FR"/>
        </w:rPr>
        <w:t xml:space="preserve"> 2019 ; </w:t>
      </w:r>
      <w:proofErr w:type="spellStart"/>
      <w:r w:rsidR="00151502">
        <w:rPr>
          <w:rFonts w:ascii="Times New Roman" w:eastAsia="Times New Roman" w:hAnsi="Times New Roman" w:cs="Times New Roman"/>
          <w:bCs/>
          <w:kern w:val="36"/>
          <w:sz w:val="24"/>
          <w:szCs w:val="24"/>
          <w:lang w:eastAsia="fr-FR"/>
        </w:rPr>
        <w:t>Mésonnier</w:t>
      </w:r>
      <w:proofErr w:type="spellEnd"/>
      <w:r>
        <w:rPr>
          <w:rFonts w:ascii="Times New Roman" w:eastAsia="Times New Roman" w:hAnsi="Times New Roman" w:cs="Times New Roman"/>
          <w:bCs/>
          <w:kern w:val="36"/>
          <w:sz w:val="24"/>
          <w:szCs w:val="24"/>
          <w:lang w:eastAsia="fr-FR"/>
        </w:rPr>
        <w:t xml:space="preserve"> </w:t>
      </w:r>
      <w:r w:rsidR="00151502">
        <w:rPr>
          <w:rFonts w:ascii="Times New Roman" w:eastAsia="Times New Roman" w:hAnsi="Times New Roman" w:cs="Times New Roman"/>
          <w:bCs/>
          <w:kern w:val="36"/>
          <w:sz w:val="24"/>
          <w:szCs w:val="24"/>
          <w:lang w:eastAsia="fr-FR"/>
        </w:rPr>
        <w:t>2019 ; </w:t>
      </w:r>
      <w:proofErr w:type="spellStart"/>
      <w:r w:rsidR="00151502">
        <w:rPr>
          <w:rFonts w:ascii="Times New Roman" w:eastAsia="Times New Roman" w:hAnsi="Times New Roman" w:cs="Times New Roman"/>
          <w:bCs/>
          <w:kern w:val="36"/>
          <w:sz w:val="24"/>
          <w:szCs w:val="24"/>
          <w:lang w:eastAsia="fr-FR"/>
        </w:rPr>
        <w:t>Caby</w:t>
      </w:r>
      <w:proofErr w:type="spellEnd"/>
      <w:r w:rsidR="00151502">
        <w:rPr>
          <w:rFonts w:ascii="Times New Roman" w:eastAsia="Times New Roman" w:hAnsi="Times New Roman" w:cs="Times New Roman"/>
          <w:bCs/>
          <w:kern w:val="36"/>
          <w:sz w:val="24"/>
          <w:szCs w:val="24"/>
          <w:lang w:eastAsia="fr-FR"/>
        </w:rPr>
        <w:t xml:space="preserve"> et al. 2020 ; sociétale : </w:t>
      </w:r>
      <w:proofErr w:type="spellStart"/>
      <w:r w:rsidR="00151502">
        <w:rPr>
          <w:rFonts w:ascii="Times New Roman" w:eastAsia="Times New Roman" w:hAnsi="Times New Roman" w:cs="Times New Roman"/>
          <w:bCs/>
          <w:kern w:val="36"/>
          <w:sz w:val="24"/>
          <w:szCs w:val="24"/>
          <w:lang w:eastAsia="fr-FR"/>
        </w:rPr>
        <w:t>Cosma</w:t>
      </w:r>
      <w:proofErr w:type="spellEnd"/>
      <w:r w:rsidR="00151502">
        <w:rPr>
          <w:rFonts w:ascii="Times New Roman" w:eastAsia="Times New Roman" w:hAnsi="Times New Roman" w:cs="Times New Roman"/>
          <w:bCs/>
          <w:kern w:val="36"/>
          <w:sz w:val="24"/>
          <w:szCs w:val="24"/>
          <w:lang w:eastAsia="fr-FR"/>
        </w:rPr>
        <w:t xml:space="preserve"> et al.</w:t>
      </w:r>
      <w:r>
        <w:rPr>
          <w:rFonts w:ascii="Times New Roman" w:eastAsia="Times New Roman" w:hAnsi="Times New Roman" w:cs="Times New Roman"/>
          <w:bCs/>
          <w:kern w:val="36"/>
          <w:sz w:val="24"/>
          <w:szCs w:val="24"/>
          <w:lang w:eastAsia="fr-FR"/>
        </w:rPr>
        <w:t xml:space="preserve"> 2020) ou </w:t>
      </w:r>
      <w:r w:rsidRPr="001845C0">
        <w:rPr>
          <w:rFonts w:ascii="Times New Roman" w:eastAsia="Times New Roman" w:hAnsi="Times New Roman" w:cs="Times New Roman"/>
          <w:bCs/>
          <w:kern w:val="36"/>
          <w:sz w:val="24"/>
          <w:szCs w:val="24"/>
          <w:lang w:eastAsia="fr-FR"/>
        </w:rPr>
        <w:t>de la performance environnementale (dont l’introduction de nouvelles réglementations</w:t>
      </w:r>
      <w:r w:rsidR="00151502">
        <w:rPr>
          <w:rFonts w:ascii="Times New Roman" w:eastAsia="Times New Roman" w:hAnsi="Times New Roman" w:cs="Times New Roman"/>
          <w:bCs/>
          <w:kern w:val="36"/>
          <w:sz w:val="24"/>
          <w:szCs w:val="24"/>
          <w:lang w:eastAsia="fr-FR"/>
        </w:rPr>
        <w:t xml:space="preserve"> : Bose et al. 2017, </w:t>
      </w:r>
      <w:proofErr w:type="spellStart"/>
      <w:r w:rsidR="00151502">
        <w:rPr>
          <w:rFonts w:ascii="Times New Roman" w:eastAsia="Times New Roman" w:hAnsi="Times New Roman" w:cs="Times New Roman"/>
          <w:bCs/>
          <w:kern w:val="36"/>
          <w:sz w:val="24"/>
          <w:szCs w:val="24"/>
          <w:lang w:eastAsia="fr-FR"/>
        </w:rPr>
        <w:t>Mésonnier</w:t>
      </w:r>
      <w:proofErr w:type="spellEnd"/>
      <w:r w:rsidR="00151502">
        <w:rPr>
          <w:rFonts w:ascii="Times New Roman" w:eastAsia="Times New Roman" w:hAnsi="Times New Roman" w:cs="Times New Roman"/>
          <w:bCs/>
          <w:kern w:val="36"/>
          <w:sz w:val="24"/>
          <w:szCs w:val="24"/>
          <w:lang w:eastAsia="fr-FR"/>
        </w:rPr>
        <w:t xml:space="preserve"> et Nguyen</w:t>
      </w:r>
      <w:r>
        <w:rPr>
          <w:rFonts w:ascii="Times New Roman" w:eastAsia="Times New Roman" w:hAnsi="Times New Roman" w:cs="Times New Roman"/>
          <w:bCs/>
          <w:kern w:val="36"/>
          <w:sz w:val="24"/>
          <w:szCs w:val="24"/>
          <w:lang w:eastAsia="fr-FR"/>
        </w:rPr>
        <w:t xml:space="preserve"> 2020</w:t>
      </w:r>
      <w:r w:rsidRPr="001845C0">
        <w:rPr>
          <w:rFonts w:ascii="Times New Roman" w:eastAsia="Times New Roman" w:hAnsi="Times New Roman" w:cs="Times New Roman"/>
          <w:bCs/>
          <w:kern w:val="36"/>
          <w:sz w:val="24"/>
          <w:szCs w:val="24"/>
          <w:lang w:eastAsia="fr-FR"/>
        </w:rPr>
        <w:t xml:space="preserve">), sans mise en relation des deux phénomènes.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Les pressions sociétales, politiques et institutionnelles sont exacerbé</w:t>
      </w:r>
      <w:r w:rsidR="00151502">
        <w:rPr>
          <w:rFonts w:ascii="Times New Roman" w:eastAsia="Times New Roman" w:hAnsi="Times New Roman" w:cs="Times New Roman"/>
          <w:bCs/>
          <w:kern w:val="36"/>
          <w:sz w:val="24"/>
          <w:szCs w:val="24"/>
          <w:lang w:eastAsia="fr-FR"/>
        </w:rPr>
        <w:t>es dans le cas des banques. L</w:t>
      </w:r>
      <w:r>
        <w:rPr>
          <w:rFonts w:ascii="Times New Roman" w:eastAsia="Times New Roman" w:hAnsi="Times New Roman" w:cs="Times New Roman"/>
          <w:bCs/>
          <w:kern w:val="36"/>
          <w:sz w:val="24"/>
          <w:szCs w:val="24"/>
          <w:lang w:eastAsia="fr-FR"/>
        </w:rPr>
        <w:t>’impact multisectoriel de leur politique de crédit et d’investissement, l’internationalisation de leurs activités, une réputation et une légitimité parfoi</w:t>
      </w:r>
      <w:r w:rsidR="00151502">
        <w:rPr>
          <w:rFonts w:ascii="Times New Roman" w:eastAsia="Times New Roman" w:hAnsi="Times New Roman" w:cs="Times New Roman"/>
          <w:bCs/>
          <w:kern w:val="36"/>
          <w:sz w:val="24"/>
          <w:szCs w:val="24"/>
          <w:lang w:eastAsia="fr-FR"/>
        </w:rPr>
        <w:t xml:space="preserve">s mises à mal (Reynaud et </w:t>
      </w:r>
      <w:proofErr w:type="spellStart"/>
      <w:r w:rsidR="00151502">
        <w:rPr>
          <w:rFonts w:ascii="Times New Roman" w:eastAsia="Times New Roman" w:hAnsi="Times New Roman" w:cs="Times New Roman"/>
          <w:bCs/>
          <w:kern w:val="36"/>
          <w:sz w:val="24"/>
          <w:szCs w:val="24"/>
          <w:lang w:eastAsia="fr-FR"/>
        </w:rPr>
        <w:t>Walas</w:t>
      </w:r>
      <w:proofErr w:type="spellEnd"/>
      <w:r>
        <w:rPr>
          <w:rFonts w:ascii="Times New Roman" w:eastAsia="Times New Roman" w:hAnsi="Times New Roman" w:cs="Times New Roman"/>
          <w:bCs/>
          <w:kern w:val="36"/>
          <w:sz w:val="24"/>
          <w:szCs w:val="24"/>
          <w:lang w:eastAsia="fr-FR"/>
        </w:rPr>
        <w:t xml:space="preserve"> 2015), leur exposition sur les marchés financiers, la présence d’investisseurs institutionnels ou des pouvoirs publics dans leur structure de propriété sont autant d’arguments qui plaident en faveur d’une recherche de légitimité les incitant à construire une stratégie réfléchie de DVI. Par ailleurs, les indicateurs de DVI et les mesures de performances sociétale et environnementale n’offrent pas l’opportunité de transmettre un signal fiable et transparent</w:t>
      </w:r>
      <w:r>
        <w:rPr>
          <w:rStyle w:val="Appelnotedebasdep"/>
          <w:rFonts w:ascii="Times New Roman" w:eastAsia="Times New Roman" w:hAnsi="Times New Roman" w:cs="Times New Roman"/>
          <w:bCs/>
          <w:kern w:val="36"/>
          <w:sz w:val="24"/>
          <w:szCs w:val="24"/>
          <w:lang w:eastAsia="fr-FR"/>
        </w:rPr>
        <w:footnoteReference w:id="6"/>
      </w:r>
      <w:r>
        <w:rPr>
          <w:rFonts w:ascii="Times New Roman" w:eastAsia="Times New Roman" w:hAnsi="Times New Roman" w:cs="Times New Roman"/>
          <w:bCs/>
          <w:kern w:val="36"/>
          <w:sz w:val="24"/>
          <w:szCs w:val="24"/>
          <w:lang w:eastAsia="fr-FR"/>
        </w:rPr>
        <w:t xml:space="preserve"> : ces outils manquent de cohérence, d’harmonisation et de contrôle. Ainsi, une relation négative entre performance et DVI est attendue :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i/>
          <w:kern w:val="36"/>
          <w:sz w:val="24"/>
          <w:szCs w:val="24"/>
          <w:lang w:eastAsia="fr-FR"/>
        </w:rPr>
      </w:pPr>
      <w:r w:rsidRPr="00E10515">
        <w:rPr>
          <w:rFonts w:ascii="Times New Roman" w:eastAsia="Times New Roman" w:hAnsi="Times New Roman" w:cs="Times New Roman"/>
          <w:bCs/>
          <w:i/>
          <w:kern w:val="36"/>
          <w:sz w:val="24"/>
          <w:szCs w:val="24"/>
          <w:lang w:eastAsia="fr-FR"/>
        </w:rPr>
        <w:lastRenderedPageBreak/>
        <w:t xml:space="preserve">H1 : Les banques aux performances environnementales médiocres affichent des scores de DVI sociétale et environnementale élevés.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Une littérature empirique foisonnante fait émerger d’autres déterminants de la DVI sociétale et environnementale qui semblent faire consensus (voir les revue</w:t>
      </w:r>
      <w:r w:rsidR="008A4522">
        <w:rPr>
          <w:rFonts w:ascii="Times New Roman" w:eastAsia="Times New Roman" w:hAnsi="Times New Roman" w:cs="Times New Roman"/>
          <w:bCs/>
          <w:kern w:val="36"/>
          <w:sz w:val="24"/>
          <w:szCs w:val="24"/>
          <w:lang w:eastAsia="fr-FR"/>
        </w:rPr>
        <w:t>s de littérature de Hahn et al.</w:t>
      </w:r>
      <w:r>
        <w:rPr>
          <w:rFonts w:ascii="Times New Roman" w:eastAsia="Times New Roman" w:hAnsi="Times New Roman" w:cs="Times New Roman"/>
          <w:bCs/>
          <w:kern w:val="36"/>
          <w:sz w:val="24"/>
          <w:szCs w:val="24"/>
          <w:lang w:eastAsia="fr-FR"/>
        </w:rPr>
        <w:t xml:space="preserve"> 2015 ;</w:t>
      </w:r>
      <w:r w:rsidR="008A4522" w:rsidRPr="008A4522">
        <w:rPr>
          <w:rFonts w:ascii="Times New Roman" w:eastAsia="Times New Roman" w:hAnsi="Times New Roman" w:cs="Times New Roman"/>
          <w:bCs/>
          <w:kern w:val="36"/>
          <w:sz w:val="24"/>
          <w:szCs w:val="24"/>
          <w:lang w:eastAsia="fr-FR"/>
        </w:rPr>
        <w:t xml:space="preserve"> </w:t>
      </w:r>
      <w:proofErr w:type="spellStart"/>
      <w:r w:rsidR="008A4522">
        <w:rPr>
          <w:rFonts w:ascii="Times New Roman" w:eastAsia="Times New Roman" w:hAnsi="Times New Roman" w:cs="Times New Roman"/>
          <w:bCs/>
          <w:kern w:val="36"/>
          <w:sz w:val="24"/>
          <w:szCs w:val="24"/>
          <w:lang w:eastAsia="fr-FR"/>
        </w:rPr>
        <w:t>Gallardo-Vazquez</w:t>
      </w:r>
      <w:proofErr w:type="spellEnd"/>
      <w:r w:rsidR="008A4522">
        <w:rPr>
          <w:rFonts w:ascii="Times New Roman" w:eastAsia="Times New Roman" w:hAnsi="Times New Roman" w:cs="Times New Roman"/>
          <w:bCs/>
          <w:kern w:val="36"/>
          <w:sz w:val="24"/>
          <w:szCs w:val="24"/>
          <w:lang w:eastAsia="fr-FR"/>
        </w:rPr>
        <w:t xml:space="preserve"> et al. 2019 ; Velte et al. 2020</w:t>
      </w:r>
      <w:r>
        <w:rPr>
          <w:rFonts w:ascii="Times New Roman" w:eastAsia="Times New Roman" w:hAnsi="Times New Roman" w:cs="Times New Roman"/>
          <w:bCs/>
          <w:kern w:val="36"/>
          <w:sz w:val="24"/>
          <w:szCs w:val="24"/>
          <w:lang w:eastAsia="fr-FR"/>
        </w:rPr>
        <w:t>) : la taille de la firme, le contexte institutionnel national et les mécanismes de gouvernance interne et externe.</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Pour contrôler ces effets et tester les hypothèses sous-jacentes, des facteurs internes et externes sont intégrés dans les modélisations. Ainsi, la taille et le nombre de cotations peuvent avoir un impact sur la stratégie de recherche de légitimité des banques (expérience organisationnelle, visibilité et internationalisation) et devraient influencer p</w:t>
      </w:r>
      <w:r w:rsidR="008A4522">
        <w:rPr>
          <w:rFonts w:ascii="Times New Roman" w:eastAsia="Times New Roman" w:hAnsi="Times New Roman" w:cs="Times New Roman"/>
          <w:bCs/>
          <w:kern w:val="36"/>
          <w:sz w:val="24"/>
          <w:szCs w:val="24"/>
          <w:lang w:eastAsia="fr-FR"/>
        </w:rPr>
        <w:t>ositivement les niveaux de DVI</w:t>
      </w:r>
      <w:r w:rsidR="008A4522" w:rsidRPr="008A4522">
        <w:rPr>
          <w:rFonts w:ascii="Times New Roman" w:eastAsia="Times New Roman" w:hAnsi="Times New Roman" w:cs="Times New Roman"/>
          <w:bCs/>
          <w:kern w:val="36"/>
          <w:sz w:val="24"/>
          <w:szCs w:val="24"/>
          <w:lang w:eastAsia="fr-FR"/>
        </w:rPr>
        <w:t xml:space="preserve"> </w:t>
      </w:r>
      <w:r w:rsidR="008A4522">
        <w:rPr>
          <w:rFonts w:ascii="Times New Roman" w:eastAsia="Times New Roman" w:hAnsi="Times New Roman" w:cs="Times New Roman"/>
          <w:bCs/>
          <w:kern w:val="36"/>
          <w:sz w:val="24"/>
          <w:szCs w:val="24"/>
          <w:lang w:eastAsia="fr-FR"/>
        </w:rPr>
        <w:t>(</w:t>
      </w:r>
      <w:proofErr w:type="spellStart"/>
      <w:r w:rsidR="008A4522">
        <w:rPr>
          <w:rFonts w:ascii="Times New Roman" w:eastAsia="Times New Roman" w:hAnsi="Times New Roman" w:cs="Times New Roman"/>
          <w:bCs/>
          <w:kern w:val="36"/>
          <w:sz w:val="24"/>
          <w:szCs w:val="24"/>
          <w:lang w:eastAsia="fr-FR"/>
        </w:rPr>
        <w:t>Kiliç</w:t>
      </w:r>
      <w:proofErr w:type="spellEnd"/>
      <w:r w:rsidR="008A4522">
        <w:rPr>
          <w:rFonts w:ascii="Times New Roman" w:eastAsia="Times New Roman" w:hAnsi="Times New Roman" w:cs="Times New Roman"/>
          <w:bCs/>
          <w:kern w:val="36"/>
          <w:sz w:val="24"/>
          <w:szCs w:val="24"/>
          <w:lang w:eastAsia="fr-FR"/>
        </w:rPr>
        <w:t xml:space="preserve"> et </w:t>
      </w:r>
      <w:proofErr w:type="spellStart"/>
      <w:r w:rsidR="008A4522">
        <w:rPr>
          <w:rFonts w:ascii="Times New Roman" w:eastAsia="Times New Roman" w:hAnsi="Times New Roman" w:cs="Times New Roman"/>
          <w:bCs/>
          <w:kern w:val="36"/>
          <w:sz w:val="24"/>
          <w:szCs w:val="24"/>
          <w:lang w:eastAsia="fr-FR"/>
        </w:rPr>
        <w:t>Kuzey</w:t>
      </w:r>
      <w:proofErr w:type="spellEnd"/>
      <w:r w:rsidR="008A4522">
        <w:rPr>
          <w:rFonts w:ascii="Times New Roman" w:eastAsia="Times New Roman" w:hAnsi="Times New Roman" w:cs="Times New Roman"/>
          <w:bCs/>
          <w:kern w:val="36"/>
          <w:sz w:val="24"/>
          <w:szCs w:val="24"/>
          <w:lang w:eastAsia="fr-FR"/>
        </w:rPr>
        <w:t xml:space="preserve"> 2019 ; </w:t>
      </w:r>
      <w:proofErr w:type="spellStart"/>
      <w:r w:rsidR="008A4522">
        <w:rPr>
          <w:rFonts w:ascii="Times New Roman" w:eastAsia="Times New Roman" w:hAnsi="Times New Roman" w:cs="Times New Roman"/>
          <w:bCs/>
          <w:kern w:val="36"/>
          <w:sz w:val="24"/>
          <w:szCs w:val="24"/>
          <w:lang w:eastAsia="fr-FR"/>
        </w:rPr>
        <w:t>Caby</w:t>
      </w:r>
      <w:proofErr w:type="spellEnd"/>
      <w:r w:rsidR="008A4522">
        <w:rPr>
          <w:rFonts w:ascii="Times New Roman" w:eastAsia="Times New Roman" w:hAnsi="Times New Roman" w:cs="Times New Roman"/>
          <w:bCs/>
          <w:kern w:val="36"/>
          <w:sz w:val="24"/>
          <w:szCs w:val="24"/>
          <w:lang w:eastAsia="fr-FR"/>
        </w:rPr>
        <w:t xml:space="preserve"> et al. 2020</w:t>
      </w:r>
      <w:r>
        <w:rPr>
          <w:rFonts w:ascii="Times New Roman" w:eastAsia="Times New Roman" w:hAnsi="Times New Roman" w:cs="Times New Roman"/>
          <w:bCs/>
          <w:kern w:val="36"/>
          <w:sz w:val="24"/>
          <w:szCs w:val="24"/>
          <w:lang w:eastAsia="fr-FR"/>
        </w:rPr>
        <w:t>). De même, les organisations les plus rentables sont plus à même d’absorber les coûts liés à la collecte et la divulgation d’information privée, et à la mise en place de procédures et d’instances dédiées</w:t>
      </w:r>
      <w:r>
        <w:rPr>
          <w:rStyle w:val="Appelnotedebasdep"/>
          <w:rFonts w:ascii="Times New Roman" w:eastAsia="Times New Roman" w:hAnsi="Times New Roman" w:cs="Times New Roman"/>
          <w:bCs/>
          <w:kern w:val="36"/>
          <w:sz w:val="24"/>
          <w:szCs w:val="24"/>
          <w:lang w:eastAsia="fr-FR"/>
        </w:rPr>
        <w:footnoteReference w:id="7"/>
      </w:r>
      <w:r>
        <w:rPr>
          <w:rFonts w:ascii="Times New Roman" w:eastAsia="Times New Roman" w:hAnsi="Times New Roman" w:cs="Times New Roman"/>
          <w:bCs/>
          <w:kern w:val="36"/>
          <w:sz w:val="24"/>
          <w:szCs w:val="24"/>
          <w:lang w:eastAsia="fr-FR"/>
        </w:rPr>
        <w:t>.</w:t>
      </w:r>
    </w:p>
    <w:p w:rsidR="00EB3251" w:rsidRPr="002804CA" w:rsidRDefault="00EB3251" w:rsidP="00EB3251">
      <w:pPr>
        <w:spacing w:before="100" w:beforeAutospacing="1" w:after="100" w:afterAutospacing="1" w:line="480" w:lineRule="auto"/>
        <w:jc w:val="both"/>
        <w:outlineLvl w:val="0"/>
        <w:rPr>
          <w:rFonts w:ascii="Times New Roman" w:eastAsia="Times New Roman" w:hAnsi="Times New Roman" w:cs="Times New Roman"/>
          <w:bCs/>
          <w:i/>
          <w:kern w:val="36"/>
          <w:sz w:val="24"/>
          <w:szCs w:val="24"/>
          <w:lang w:eastAsia="fr-FR"/>
        </w:rPr>
      </w:pPr>
      <w:r w:rsidRPr="002804CA">
        <w:rPr>
          <w:rFonts w:ascii="Times New Roman" w:eastAsia="Times New Roman" w:hAnsi="Times New Roman" w:cs="Times New Roman"/>
          <w:bCs/>
          <w:i/>
          <w:kern w:val="36"/>
          <w:sz w:val="24"/>
          <w:szCs w:val="24"/>
          <w:lang w:eastAsia="fr-FR"/>
        </w:rPr>
        <w:t>H2 : Les plus grandes banques présentent des indicateurs de DVI sociétale et environnementale plus élevés.</w:t>
      </w:r>
    </w:p>
    <w:p w:rsidR="00EB3251" w:rsidRPr="002804CA" w:rsidRDefault="00EB3251" w:rsidP="00EB3251">
      <w:pPr>
        <w:spacing w:before="100" w:beforeAutospacing="1" w:after="100" w:afterAutospacing="1" w:line="480" w:lineRule="auto"/>
        <w:jc w:val="both"/>
        <w:outlineLvl w:val="0"/>
        <w:rPr>
          <w:rFonts w:ascii="Times New Roman" w:eastAsia="Times New Roman" w:hAnsi="Times New Roman" w:cs="Times New Roman"/>
          <w:bCs/>
          <w:i/>
          <w:kern w:val="36"/>
          <w:sz w:val="24"/>
          <w:szCs w:val="24"/>
          <w:lang w:eastAsia="fr-FR"/>
        </w:rPr>
      </w:pPr>
      <w:r w:rsidRPr="002804CA">
        <w:rPr>
          <w:rFonts w:ascii="Times New Roman" w:eastAsia="Times New Roman" w:hAnsi="Times New Roman" w:cs="Times New Roman"/>
          <w:bCs/>
          <w:i/>
          <w:kern w:val="36"/>
          <w:sz w:val="24"/>
          <w:szCs w:val="24"/>
          <w:lang w:eastAsia="fr-FR"/>
        </w:rPr>
        <w:t>H3 : Les banques cotées sur plusieurs place</w:t>
      </w:r>
      <w:r>
        <w:rPr>
          <w:rFonts w:ascii="Times New Roman" w:eastAsia="Times New Roman" w:hAnsi="Times New Roman" w:cs="Times New Roman"/>
          <w:bCs/>
          <w:i/>
          <w:kern w:val="36"/>
          <w:sz w:val="24"/>
          <w:szCs w:val="24"/>
          <w:lang w:eastAsia="fr-FR"/>
        </w:rPr>
        <w:t>s boursières affichent</w:t>
      </w:r>
      <w:r w:rsidRPr="002804CA">
        <w:rPr>
          <w:rFonts w:ascii="Times New Roman" w:eastAsia="Times New Roman" w:hAnsi="Times New Roman" w:cs="Times New Roman"/>
          <w:bCs/>
          <w:i/>
          <w:kern w:val="36"/>
          <w:sz w:val="24"/>
          <w:szCs w:val="24"/>
          <w:lang w:eastAsia="fr-FR"/>
        </w:rPr>
        <w:t xml:space="preserve"> des scores de DVI sociétale et environnementale plus élevés.</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i/>
          <w:kern w:val="36"/>
          <w:sz w:val="24"/>
          <w:szCs w:val="24"/>
          <w:lang w:eastAsia="fr-FR"/>
        </w:rPr>
      </w:pPr>
      <w:r w:rsidRPr="002804CA">
        <w:rPr>
          <w:rFonts w:ascii="Times New Roman" w:eastAsia="Times New Roman" w:hAnsi="Times New Roman" w:cs="Times New Roman"/>
          <w:bCs/>
          <w:i/>
          <w:kern w:val="36"/>
          <w:sz w:val="24"/>
          <w:szCs w:val="24"/>
          <w:lang w:eastAsia="fr-FR"/>
        </w:rPr>
        <w:t>H4 : Les banques les plus rentables possèdent des indicateurs de DVI sociétale et environnementale plus élevés.</w:t>
      </w:r>
    </w:p>
    <w:p w:rsidR="00EB3251" w:rsidRDefault="00EB3251" w:rsidP="00EB3251">
      <w:pPr>
        <w:spacing w:before="100" w:beforeAutospacing="1" w:after="100" w:afterAutospacing="1" w:line="480" w:lineRule="auto"/>
        <w:jc w:val="both"/>
        <w:outlineLvl w:val="0"/>
        <w:rPr>
          <w:rFonts w:ascii="Times New Roman" w:hAnsi="Times New Roman" w:cs="Times New Roman"/>
          <w:sz w:val="24"/>
          <w:szCs w:val="24"/>
        </w:rPr>
      </w:pPr>
      <w:r>
        <w:rPr>
          <w:rFonts w:ascii="Times New Roman" w:eastAsia="Times New Roman" w:hAnsi="Times New Roman" w:cs="Times New Roman"/>
          <w:bCs/>
          <w:kern w:val="36"/>
          <w:sz w:val="24"/>
          <w:szCs w:val="24"/>
          <w:lang w:eastAsia="fr-FR"/>
        </w:rPr>
        <w:lastRenderedPageBreak/>
        <w:t>Enfin, la théorie néo-institutionnelle</w:t>
      </w:r>
      <w:r>
        <w:rPr>
          <w:rStyle w:val="Appelnotedebasdep"/>
          <w:rFonts w:ascii="Times New Roman" w:eastAsia="Times New Roman" w:hAnsi="Times New Roman" w:cs="Times New Roman"/>
          <w:bCs/>
          <w:kern w:val="36"/>
          <w:sz w:val="24"/>
          <w:szCs w:val="24"/>
          <w:lang w:eastAsia="fr-FR"/>
        </w:rPr>
        <w:footnoteReference w:id="8"/>
      </w:r>
      <w:r>
        <w:rPr>
          <w:rFonts w:ascii="Times New Roman" w:eastAsia="Times New Roman" w:hAnsi="Times New Roman" w:cs="Times New Roman"/>
          <w:bCs/>
          <w:kern w:val="36"/>
          <w:sz w:val="24"/>
          <w:szCs w:val="24"/>
          <w:lang w:eastAsia="fr-FR"/>
        </w:rPr>
        <w:t xml:space="preserve"> souligne le poids du contexte institutionnel national du pays d’origine sur les politiques de DVI </w:t>
      </w:r>
      <w:r w:rsidR="008A4522">
        <w:rPr>
          <w:rFonts w:ascii="Times New Roman" w:eastAsia="Times New Roman" w:hAnsi="Times New Roman" w:cs="Times New Roman"/>
          <w:bCs/>
          <w:kern w:val="36"/>
          <w:sz w:val="24"/>
          <w:szCs w:val="24"/>
          <w:lang w:eastAsia="fr-FR"/>
        </w:rPr>
        <w:t>des firmes (</w:t>
      </w:r>
      <w:proofErr w:type="spellStart"/>
      <w:r w:rsidR="008A4522">
        <w:rPr>
          <w:rFonts w:ascii="Times New Roman" w:eastAsia="Times New Roman" w:hAnsi="Times New Roman" w:cs="Times New Roman"/>
          <w:bCs/>
          <w:kern w:val="36"/>
          <w:sz w:val="24"/>
          <w:szCs w:val="24"/>
          <w:lang w:eastAsia="fr-FR"/>
        </w:rPr>
        <w:t>Grauel</w:t>
      </w:r>
      <w:proofErr w:type="spellEnd"/>
      <w:r w:rsidR="008A4522">
        <w:rPr>
          <w:rFonts w:ascii="Times New Roman" w:eastAsia="Times New Roman" w:hAnsi="Times New Roman" w:cs="Times New Roman"/>
          <w:bCs/>
          <w:kern w:val="36"/>
          <w:sz w:val="24"/>
          <w:szCs w:val="24"/>
          <w:lang w:eastAsia="fr-FR"/>
        </w:rPr>
        <w:t xml:space="preserve"> et </w:t>
      </w:r>
      <w:proofErr w:type="spellStart"/>
      <w:r w:rsidR="008A4522">
        <w:rPr>
          <w:rFonts w:ascii="Times New Roman" w:eastAsia="Times New Roman" w:hAnsi="Times New Roman" w:cs="Times New Roman"/>
          <w:bCs/>
          <w:kern w:val="36"/>
          <w:sz w:val="24"/>
          <w:szCs w:val="24"/>
          <w:lang w:eastAsia="fr-FR"/>
        </w:rPr>
        <w:t>Gotthardt</w:t>
      </w:r>
      <w:proofErr w:type="spellEnd"/>
      <w:r>
        <w:rPr>
          <w:rFonts w:ascii="Times New Roman" w:eastAsia="Times New Roman" w:hAnsi="Times New Roman" w:cs="Times New Roman"/>
          <w:bCs/>
          <w:kern w:val="36"/>
          <w:sz w:val="24"/>
          <w:szCs w:val="24"/>
          <w:lang w:eastAsia="fr-FR"/>
        </w:rPr>
        <w:t xml:space="preserve"> 2016). </w:t>
      </w:r>
      <w:r w:rsidRPr="009E792C">
        <w:rPr>
          <w:rFonts w:ascii="Times New Roman" w:hAnsi="Times New Roman" w:cs="Times New Roman"/>
          <w:sz w:val="24"/>
          <w:szCs w:val="24"/>
        </w:rPr>
        <w:t>Les coûts et b</w:t>
      </w:r>
      <w:r w:rsidR="008A4522">
        <w:rPr>
          <w:rFonts w:ascii="Times New Roman" w:hAnsi="Times New Roman" w:cs="Times New Roman"/>
          <w:sz w:val="24"/>
          <w:szCs w:val="24"/>
        </w:rPr>
        <w:t>énéfices de DVI (Cormier et al.</w:t>
      </w:r>
      <w:r w:rsidRPr="009E792C">
        <w:rPr>
          <w:rFonts w:ascii="Times New Roman" w:hAnsi="Times New Roman" w:cs="Times New Roman"/>
          <w:sz w:val="24"/>
          <w:szCs w:val="24"/>
        </w:rPr>
        <w:t xml:space="preserve"> 2005) et l</w:t>
      </w:r>
      <w:r>
        <w:rPr>
          <w:rFonts w:ascii="Times New Roman" w:hAnsi="Times New Roman" w:cs="Times New Roman"/>
          <w:sz w:val="24"/>
          <w:szCs w:val="24"/>
        </w:rPr>
        <w:t>a quête de légitimité dépendent des politiques et performances</w:t>
      </w:r>
      <w:r w:rsidRPr="009E792C">
        <w:rPr>
          <w:rFonts w:ascii="Times New Roman" w:hAnsi="Times New Roman" w:cs="Times New Roman"/>
          <w:sz w:val="24"/>
          <w:szCs w:val="24"/>
        </w:rPr>
        <w:t xml:space="preserve"> </w:t>
      </w:r>
      <w:r>
        <w:rPr>
          <w:rFonts w:ascii="Times New Roman" w:hAnsi="Times New Roman" w:cs="Times New Roman"/>
          <w:sz w:val="24"/>
          <w:szCs w:val="24"/>
        </w:rPr>
        <w:t>environnementales des Etats, reflets d</w:t>
      </w:r>
      <w:r w:rsidRPr="009E792C">
        <w:rPr>
          <w:rFonts w:ascii="Times New Roman" w:hAnsi="Times New Roman" w:cs="Times New Roman"/>
          <w:sz w:val="24"/>
          <w:szCs w:val="24"/>
        </w:rPr>
        <w:t>es</w:t>
      </w:r>
      <w:r>
        <w:rPr>
          <w:rFonts w:ascii="Times New Roman" w:hAnsi="Times New Roman" w:cs="Times New Roman"/>
          <w:sz w:val="24"/>
          <w:szCs w:val="24"/>
        </w:rPr>
        <w:t xml:space="preserve"> préoccupa</w:t>
      </w:r>
      <w:r w:rsidR="008A4522">
        <w:rPr>
          <w:rFonts w:ascii="Times New Roman" w:hAnsi="Times New Roman" w:cs="Times New Roman"/>
          <w:sz w:val="24"/>
          <w:szCs w:val="24"/>
        </w:rPr>
        <w:t xml:space="preserve">tions du grand public (Campbell 2007 ; </w:t>
      </w:r>
      <w:proofErr w:type="spellStart"/>
      <w:r w:rsidR="008A4522">
        <w:rPr>
          <w:rFonts w:ascii="Times New Roman" w:hAnsi="Times New Roman" w:cs="Times New Roman"/>
          <w:sz w:val="24"/>
          <w:szCs w:val="24"/>
        </w:rPr>
        <w:t>Brammer</w:t>
      </w:r>
      <w:proofErr w:type="spellEnd"/>
      <w:r w:rsidR="008A4522">
        <w:rPr>
          <w:rFonts w:ascii="Times New Roman" w:hAnsi="Times New Roman" w:cs="Times New Roman"/>
          <w:sz w:val="24"/>
          <w:szCs w:val="24"/>
        </w:rPr>
        <w:t xml:space="preserve"> et al. 2012 ; </w:t>
      </w:r>
      <w:proofErr w:type="spellStart"/>
      <w:r w:rsidR="008A4522">
        <w:rPr>
          <w:rFonts w:ascii="Times New Roman" w:hAnsi="Times New Roman" w:cs="Times New Roman"/>
          <w:sz w:val="24"/>
          <w:szCs w:val="24"/>
        </w:rPr>
        <w:t>Boura</w:t>
      </w:r>
      <w:proofErr w:type="spellEnd"/>
      <w:r w:rsidR="008A4522">
        <w:rPr>
          <w:rFonts w:ascii="Times New Roman" w:hAnsi="Times New Roman" w:cs="Times New Roman"/>
          <w:sz w:val="24"/>
          <w:szCs w:val="24"/>
        </w:rPr>
        <w:t xml:space="preserve"> et al. 2020</w:t>
      </w:r>
      <w:r>
        <w:rPr>
          <w:rFonts w:ascii="Times New Roman" w:hAnsi="Times New Roman" w:cs="Times New Roman"/>
          <w:sz w:val="24"/>
          <w:szCs w:val="24"/>
        </w:rPr>
        <w:t xml:space="preserve">). </w:t>
      </w:r>
    </w:p>
    <w:p w:rsidR="00EB3251" w:rsidRDefault="00EB3251" w:rsidP="00EB3251">
      <w:pPr>
        <w:spacing w:before="100" w:beforeAutospacing="1" w:after="100" w:afterAutospacing="1" w:line="480" w:lineRule="auto"/>
        <w:jc w:val="both"/>
        <w:outlineLvl w:val="0"/>
        <w:rPr>
          <w:rFonts w:ascii="Times New Roman" w:hAnsi="Times New Roman" w:cs="Times New Roman"/>
          <w:i/>
          <w:sz w:val="24"/>
          <w:szCs w:val="24"/>
        </w:rPr>
      </w:pPr>
      <w:r w:rsidRPr="005D27E9">
        <w:rPr>
          <w:rFonts w:ascii="Times New Roman" w:hAnsi="Times New Roman" w:cs="Times New Roman"/>
          <w:i/>
          <w:sz w:val="24"/>
          <w:szCs w:val="24"/>
        </w:rPr>
        <w:t>H5 : Les banques issues de pays ou région soutenant des politiques environnementales ambitieuses maximisent leur niveau de DVI sociétale et environnementale.</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 tableau 2 récapitule les hypothèses de recherche, les relations attendues et les champs théoriques mobilisés.</w:t>
      </w:r>
    </w:p>
    <w:p w:rsidR="0042669B" w:rsidRPr="00482C55" w:rsidRDefault="0042669B" w:rsidP="0042669B">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482C55">
        <w:rPr>
          <w:rFonts w:ascii="Times New Roman" w:eastAsia="Times New Roman" w:hAnsi="Times New Roman" w:cs="Times New Roman"/>
          <w:b/>
          <w:bCs/>
          <w:kern w:val="36"/>
          <w:sz w:val="24"/>
          <w:szCs w:val="24"/>
          <w:lang w:eastAsia="fr-FR"/>
        </w:rPr>
        <w:t>Tableau 2 : Synthèse des hypothèses de recherche.</w:t>
      </w:r>
    </w:p>
    <w:tbl>
      <w:tblPr>
        <w:tblStyle w:val="Grilledutableau"/>
        <w:tblW w:w="0" w:type="auto"/>
        <w:tblLook w:val="04A0" w:firstRow="1" w:lastRow="0" w:firstColumn="1" w:lastColumn="0" w:noHBand="0" w:noVBand="1"/>
      </w:tblPr>
      <w:tblGrid>
        <w:gridCol w:w="5240"/>
        <w:gridCol w:w="1985"/>
        <w:gridCol w:w="1837"/>
      </w:tblGrid>
      <w:tr w:rsidR="0042669B" w:rsidTr="0042669B">
        <w:tc>
          <w:tcPr>
            <w:tcW w:w="9062" w:type="dxa"/>
            <w:gridSpan w:val="3"/>
          </w:tcPr>
          <w:p w:rsidR="0042669B" w:rsidRPr="002F4EE0" w:rsidRDefault="0042669B" w:rsidP="0042669B">
            <w:pPr>
              <w:jc w:val="center"/>
              <w:rPr>
                <w:b/>
              </w:rPr>
            </w:pPr>
            <w:r w:rsidRPr="002F4EE0">
              <w:rPr>
                <w:b/>
              </w:rPr>
              <w:t>Variables à expliquer</w:t>
            </w:r>
          </w:p>
        </w:tc>
      </w:tr>
      <w:tr w:rsidR="0042669B" w:rsidTr="0042669B">
        <w:tc>
          <w:tcPr>
            <w:tcW w:w="9062" w:type="dxa"/>
            <w:gridSpan w:val="3"/>
          </w:tcPr>
          <w:p w:rsidR="0042669B" w:rsidRDefault="0042669B" w:rsidP="0042669B">
            <w:pPr>
              <w:jc w:val="center"/>
            </w:pPr>
            <w:r>
              <w:t xml:space="preserve">DVI </w:t>
            </w:r>
            <w:r w:rsidR="00454682">
              <w:t>environnementale – Volume et qualité</w:t>
            </w:r>
          </w:p>
        </w:tc>
      </w:tr>
      <w:tr w:rsidR="0042669B" w:rsidTr="0042669B">
        <w:tc>
          <w:tcPr>
            <w:tcW w:w="9062" w:type="dxa"/>
            <w:gridSpan w:val="3"/>
          </w:tcPr>
          <w:p w:rsidR="0042669B" w:rsidRDefault="00454682" w:rsidP="0042669B">
            <w:pPr>
              <w:jc w:val="center"/>
            </w:pPr>
            <w:r>
              <w:t>DVI sociétale – Volume et qualité</w:t>
            </w:r>
          </w:p>
        </w:tc>
      </w:tr>
      <w:tr w:rsidR="0042669B" w:rsidTr="0042669B">
        <w:tc>
          <w:tcPr>
            <w:tcW w:w="5240" w:type="dxa"/>
          </w:tcPr>
          <w:p w:rsidR="0042669B" w:rsidRPr="002F4EE0" w:rsidRDefault="0042669B" w:rsidP="0042669B">
            <w:pPr>
              <w:jc w:val="center"/>
              <w:rPr>
                <w:b/>
              </w:rPr>
            </w:pPr>
            <w:r w:rsidRPr="002F4EE0">
              <w:rPr>
                <w:b/>
              </w:rPr>
              <w:t>Variables explicatives</w:t>
            </w:r>
          </w:p>
        </w:tc>
        <w:tc>
          <w:tcPr>
            <w:tcW w:w="1985" w:type="dxa"/>
          </w:tcPr>
          <w:p w:rsidR="0042669B" w:rsidRPr="002F4EE0" w:rsidRDefault="0042669B" w:rsidP="0042669B">
            <w:pPr>
              <w:jc w:val="center"/>
              <w:rPr>
                <w:b/>
              </w:rPr>
            </w:pPr>
            <w:r w:rsidRPr="002F4EE0">
              <w:rPr>
                <w:b/>
              </w:rPr>
              <w:t>Signe attendu</w:t>
            </w:r>
          </w:p>
        </w:tc>
        <w:tc>
          <w:tcPr>
            <w:tcW w:w="1837" w:type="dxa"/>
          </w:tcPr>
          <w:p w:rsidR="0042669B" w:rsidRPr="002F4EE0" w:rsidRDefault="0042669B" w:rsidP="0042669B">
            <w:pPr>
              <w:jc w:val="center"/>
              <w:rPr>
                <w:b/>
              </w:rPr>
            </w:pPr>
            <w:r w:rsidRPr="002F4EE0">
              <w:rPr>
                <w:b/>
              </w:rPr>
              <w:t>Théorie</w:t>
            </w:r>
          </w:p>
        </w:tc>
      </w:tr>
      <w:tr w:rsidR="0042669B" w:rsidTr="0042669B">
        <w:tc>
          <w:tcPr>
            <w:tcW w:w="5240" w:type="dxa"/>
          </w:tcPr>
          <w:p w:rsidR="0042669B" w:rsidRDefault="0042669B" w:rsidP="0042669B">
            <w:pPr>
              <w:jc w:val="center"/>
            </w:pPr>
            <w:r>
              <w:t>Performance environnementale des banques : Financement des filière</w:t>
            </w:r>
            <w:r w:rsidR="00454682">
              <w:t>s fossiles</w:t>
            </w:r>
          </w:p>
        </w:tc>
        <w:tc>
          <w:tcPr>
            <w:tcW w:w="1985" w:type="dxa"/>
          </w:tcPr>
          <w:p w:rsidR="0042669B" w:rsidRPr="002F4EE0" w:rsidRDefault="0042669B" w:rsidP="0042669B">
            <w:pPr>
              <w:jc w:val="center"/>
              <w:rPr>
                <w:b/>
                <w:sz w:val="28"/>
                <w:szCs w:val="28"/>
              </w:rPr>
            </w:pPr>
            <w:r w:rsidRPr="002F4EE0">
              <w:rPr>
                <w:b/>
                <w:sz w:val="28"/>
                <w:szCs w:val="28"/>
              </w:rPr>
              <w:t>-</w:t>
            </w:r>
          </w:p>
        </w:tc>
        <w:tc>
          <w:tcPr>
            <w:tcW w:w="1837" w:type="dxa"/>
          </w:tcPr>
          <w:p w:rsidR="0042669B" w:rsidRDefault="0042669B" w:rsidP="0042669B">
            <w:pPr>
              <w:jc w:val="center"/>
            </w:pPr>
            <w:r>
              <w:t>Légitimité</w:t>
            </w:r>
          </w:p>
        </w:tc>
      </w:tr>
      <w:tr w:rsidR="0042669B" w:rsidTr="0042669B">
        <w:tc>
          <w:tcPr>
            <w:tcW w:w="5240" w:type="dxa"/>
          </w:tcPr>
          <w:p w:rsidR="0042669B" w:rsidRDefault="00454682" w:rsidP="0042669B">
            <w:pPr>
              <w:jc w:val="center"/>
            </w:pPr>
            <w:r>
              <w:t>Taille</w:t>
            </w:r>
          </w:p>
        </w:tc>
        <w:tc>
          <w:tcPr>
            <w:tcW w:w="1985" w:type="dxa"/>
          </w:tcPr>
          <w:p w:rsidR="0042669B" w:rsidRPr="002F4EE0" w:rsidRDefault="0042669B" w:rsidP="0042669B">
            <w:pPr>
              <w:jc w:val="center"/>
              <w:rPr>
                <w:b/>
                <w:sz w:val="28"/>
                <w:szCs w:val="28"/>
              </w:rPr>
            </w:pPr>
            <w:r w:rsidRPr="002F4EE0">
              <w:rPr>
                <w:b/>
                <w:sz w:val="28"/>
                <w:szCs w:val="28"/>
              </w:rPr>
              <w:t>+</w:t>
            </w:r>
          </w:p>
        </w:tc>
        <w:tc>
          <w:tcPr>
            <w:tcW w:w="1837" w:type="dxa"/>
          </w:tcPr>
          <w:p w:rsidR="0042669B" w:rsidRDefault="0042669B" w:rsidP="0042669B">
            <w:pPr>
              <w:jc w:val="center"/>
            </w:pPr>
            <w:r>
              <w:t>Economique / Légitimité</w:t>
            </w:r>
          </w:p>
        </w:tc>
      </w:tr>
      <w:tr w:rsidR="0042669B" w:rsidTr="0042669B">
        <w:tc>
          <w:tcPr>
            <w:tcW w:w="5240" w:type="dxa"/>
          </w:tcPr>
          <w:p w:rsidR="0042669B" w:rsidRDefault="00454682" w:rsidP="0042669B">
            <w:pPr>
              <w:jc w:val="center"/>
            </w:pPr>
            <w:r>
              <w:t>Cotation</w:t>
            </w:r>
          </w:p>
        </w:tc>
        <w:tc>
          <w:tcPr>
            <w:tcW w:w="1985" w:type="dxa"/>
          </w:tcPr>
          <w:p w:rsidR="0042669B" w:rsidRPr="002F4EE0" w:rsidRDefault="0042669B" w:rsidP="0042669B">
            <w:pPr>
              <w:jc w:val="center"/>
              <w:rPr>
                <w:b/>
                <w:sz w:val="28"/>
                <w:szCs w:val="28"/>
              </w:rPr>
            </w:pPr>
            <w:r w:rsidRPr="002F4EE0">
              <w:rPr>
                <w:b/>
                <w:sz w:val="28"/>
                <w:szCs w:val="28"/>
              </w:rPr>
              <w:t>+</w:t>
            </w:r>
          </w:p>
        </w:tc>
        <w:tc>
          <w:tcPr>
            <w:tcW w:w="1837" w:type="dxa"/>
          </w:tcPr>
          <w:p w:rsidR="0042669B" w:rsidRDefault="0042669B" w:rsidP="0042669B">
            <w:pPr>
              <w:jc w:val="center"/>
            </w:pPr>
            <w:r>
              <w:t>Légitimité</w:t>
            </w:r>
          </w:p>
        </w:tc>
      </w:tr>
      <w:tr w:rsidR="0042669B" w:rsidTr="0042669B">
        <w:tc>
          <w:tcPr>
            <w:tcW w:w="5240" w:type="dxa"/>
          </w:tcPr>
          <w:p w:rsidR="0042669B" w:rsidRDefault="00454682" w:rsidP="0042669B">
            <w:pPr>
              <w:jc w:val="center"/>
            </w:pPr>
            <w:r>
              <w:t>Rentabilité</w:t>
            </w:r>
          </w:p>
        </w:tc>
        <w:tc>
          <w:tcPr>
            <w:tcW w:w="1985" w:type="dxa"/>
          </w:tcPr>
          <w:p w:rsidR="0042669B" w:rsidRPr="002F4EE0" w:rsidRDefault="0042669B" w:rsidP="0042669B">
            <w:pPr>
              <w:jc w:val="center"/>
              <w:rPr>
                <w:b/>
                <w:sz w:val="28"/>
                <w:szCs w:val="28"/>
              </w:rPr>
            </w:pPr>
            <w:r w:rsidRPr="002F4EE0">
              <w:rPr>
                <w:b/>
                <w:sz w:val="28"/>
                <w:szCs w:val="28"/>
              </w:rPr>
              <w:t>+</w:t>
            </w:r>
          </w:p>
        </w:tc>
        <w:tc>
          <w:tcPr>
            <w:tcW w:w="1837" w:type="dxa"/>
          </w:tcPr>
          <w:p w:rsidR="0042669B" w:rsidRDefault="0042669B" w:rsidP="0042669B">
            <w:pPr>
              <w:jc w:val="center"/>
            </w:pPr>
            <w:r>
              <w:t>Economique</w:t>
            </w:r>
          </w:p>
        </w:tc>
      </w:tr>
      <w:tr w:rsidR="0042669B" w:rsidTr="0042669B">
        <w:tc>
          <w:tcPr>
            <w:tcW w:w="5240" w:type="dxa"/>
          </w:tcPr>
          <w:p w:rsidR="0042669B" w:rsidRDefault="0042669B" w:rsidP="0042669B">
            <w:pPr>
              <w:jc w:val="center"/>
            </w:pPr>
            <w:r>
              <w:t>Politiqu</w:t>
            </w:r>
            <w:r w:rsidR="00454682">
              <w:t>e environnementale du pays</w:t>
            </w:r>
            <w:r>
              <w:t xml:space="preserve"> et de la régi</w:t>
            </w:r>
            <w:r w:rsidR="00454682">
              <w:t>on</w:t>
            </w:r>
          </w:p>
        </w:tc>
        <w:tc>
          <w:tcPr>
            <w:tcW w:w="1985" w:type="dxa"/>
          </w:tcPr>
          <w:p w:rsidR="0042669B" w:rsidRPr="002F4EE0" w:rsidRDefault="0042669B" w:rsidP="0042669B">
            <w:pPr>
              <w:jc w:val="center"/>
              <w:rPr>
                <w:b/>
                <w:sz w:val="28"/>
                <w:szCs w:val="28"/>
              </w:rPr>
            </w:pPr>
            <w:r w:rsidRPr="002F4EE0">
              <w:rPr>
                <w:b/>
                <w:sz w:val="28"/>
                <w:szCs w:val="28"/>
              </w:rPr>
              <w:t>+</w:t>
            </w:r>
          </w:p>
        </w:tc>
        <w:tc>
          <w:tcPr>
            <w:tcW w:w="1837" w:type="dxa"/>
          </w:tcPr>
          <w:p w:rsidR="0042669B" w:rsidRDefault="0042669B" w:rsidP="0042669B">
            <w:pPr>
              <w:jc w:val="center"/>
            </w:pPr>
            <w:r>
              <w:t>Néo-in</w:t>
            </w:r>
            <w:r w:rsidR="00454682">
              <w:t>stitutionnelle</w:t>
            </w:r>
          </w:p>
        </w:tc>
      </w:tr>
      <w:tr w:rsidR="0042669B" w:rsidTr="0042669B">
        <w:tc>
          <w:tcPr>
            <w:tcW w:w="5240" w:type="dxa"/>
          </w:tcPr>
          <w:p w:rsidR="0042669B" w:rsidRDefault="0042669B" w:rsidP="0042669B">
            <w:pPr>
              <w:jc w:val="center"/>
            </w:pPr>
            <w:r>
              <w:t>Effets fixes : Année, Pays</w:t>
            </w:r>
          </w:p>
        </w:tc>
        <w:tc>
          <w:tcPr>
            <w:tcW w:w="1985" w:type="dxa"/>
          </w:tcPr>
          <w:p w:rsidR="0042669B" w:rsidRDefault="0042669B" w:rsidP="0042669B">
            <w:pPr>
              <w:jc w:val="center"/>
            </w:pPr>
          </w:p>
        </w:tc>
        <w:tc>
          <w:tcPr>
            <w:tcW w:w="1837" w:type="dxa"/>
          </w:tcPr>
          <w:p w:rsidR="0042669B" w:rsidRDefault="0042669B" w:rsidP="0042669B">
            <w:pPr>
              <w:jc w:val="center"/>
            </w:pPr>
          </w:p>
        </w:tc>
      </w:tr>
    </w:tbl>
    <w:p w:rsidR="0042669B" w:rsidRDefault="0042669B" w:rsidP="0042669B"/>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8"/>
          <w:szCs w:val="28"/>
          <w:lang w:eastAsia="fr-FR"/>
        </w:rPr>
      </w:pPr>
      <w:r w:rsidRPr="00255584">
        <w:rPr>
          <w:rFonts w:ascii="Times New Roman" w:eastAsia="Times New Roman" w:hAnsi="Times New Roman" w:cs="Times New Roman"/>
          <w:b/>
          <w:bCs/>
          <w:kern w:val="36"/>
          <w:sz w:val="28"/>
          <w:szCs w:val="28"/>
          <w:lang w:eastAsia="fr-FR"/>
        </w:rPr>
        <w:t>3 Données et Méthodologie</w:t>
      </w: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sidRPr="00255584">
        <w:rPr>
          <w:rFonts w:ascii="Times New Roman" w:eastAsia="Times New Roman" w:hAnsi="Times New Roman" w:cs="Times New Roman"/>
          <w:b/>
          <w:bCs/>
          <w:kern w:val="36"/>
          <w:sz w:val="24"/>
          <w:szCs w:val="24"/>
          <w:lang w:eastAsia="fr-FR"/>
        </w:rPr>
        <w:t xml:space="preserve">3.1 </w:t>
      </w:r>
      <w:r w:rsidR="00EB3251" w:rsidRPr="00255584">
        <w:rPr>
          <w:rFonts w:ascii="Times New Roman" w:eastAsia="Times New Roman" w:hAnsi="Times New Roman" w:cs="Times New Roman"/>
          <w:b/>
          <w:bCs/>
          <w:kern w:val="36"/>
          <w:sz w:val="24"/>
          <w:szCs w:val="24"/>
          <w:lang w:eastAsia="fr-FR"/>
        </w:rPr>
        <w:t xml:space="preserve">Echantillon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lastRenderedPageBreak/>
        <w:t>L’é</w:t>
      </w:r>
      <w:r>
        <w:rPr>
          <w:rFonts w:ascii="Times New Roman" w:eastAsia="Times New Roman" w:hAnsi="Times New Roman" w:cs="Times New Roman"/>
          <w:bCs/>
          <w:kern w:val="36"/>
          <w:sz w:val="24"/>
          <w:szCs w:val="24"/>
          <w:lang w:eastAsia="fr-FR"/>
        </w:rPr>
        <w:t>chantillon d’étude est issu du r</w:t>
      </w:r>
      <w:r w:rsidRPr="001845C0">
        <w:rPr>
          <w:rFonts w:ascii="Times New Roman" w:eastAsia="Times New Roman" w:hAnsi="Times New Roman" w:cs="Times New Roman"/>
          <w:bCs/>
          <w:kern w:val="36"/>
          <w:sz w:val="24"/>
          <w:szCs w:val="24"/>
          <w:lang w:eastAsia="fr-FR"/>
        </w:rPr>
        <w:t>apport sur le Financement des Energies Fossiles de mars 2020, intitulé « </w:t>
      </w:r>
      <w:r w:rsidRPr="00B05B6C">
        <w:rPr>
          <w:rFonts w:ascii="Times New Roman" w:eastAsia="Times New Roman" w:hAnsi="Times New Roman" w:cs="Times New Roman"/>
          <w:bCs/>
          <w:i/>
          <w:kern w:val="36"/>
          <w:sz w:val="24"/>
          <w:szCs w:val="24"/>
          <w:lang w:eastAsia="fr-FR"/>
        </w:rPr>
        <w:t xml:space="preserve">Banking on </w:t>
      </w:r>
      <w:proofErr w:type="spellStart"/>
      <w:r w:rsidRPr="00B05B6C">
        <w:rPr>
          <w:rFonts w:ascii="Times New Roman" w:eastAsia="Times New Roman" w:hAnsi="Times New Roman" w:cs="Times New Roman"/>
          <w:bCs/>
          <w:i/>
          <w:kern w:val="36"/>
          <w:sz w:val="24"/>
          <w:szCs w:val="24"/>
          <w:lang w:eastAsia="fr-FR"/>
        </w:rPr>
        <w:t>Climate</w:t>
      </w:r>
      <w:proofErr w:type="spellEnd"/>
      <w:r w:rsidRPr="00B05B6C">
        <w:rPr>
          <w:rFonts w:ascii="Times New Roman" w:eastAsia="Times New Roman" w:hAnsi="Times New Roman" w:cs="Times New Roman"/>
          <w:bCs/>
          <w:i/>
          <w:kern w:val="36"/>
          <w:sz w:val="24"/>
          <w:szCs w:val="24"/>
          <w:lang w:eastAsia="fr-FR"/>
        </w:rPr>
        <w:t xml:space="preserve"> Change : Fossile Fuel Finance Report 2020</w:t>
      </w:r>
      <w:r w:rsidRPr="001845C0">
        <w:rPr>
          <w:rFonts w:ascii="Times New Roman" w:eastAsia="Times New Roman" w:hAnsi="Times New Roman" w:cs="Times New Roman"/>
          <w:bCs/>
          <w:kern w:val="36"/>
          <w:sz w:val="24"/>
          <w:szCs w:val="24"/>
          <w:lang w:eastAsia="fr-FR"/>
        </w:rPr>
        <w:t xml:space="preserve"> ». Cette étude a été réalisée par </w:t>
      </w:r>
      <w:proofErr w:type="spellStart"/>
      <w:r w:rsidRPr="00B05B6C">
        <w:rPr>
          <w:rFonts w:ascii="Times New Roman" w:eastAsia="Times New Roman" w:hAnsi="Times New Roman" w:cs="Times New Roman"/>
          <w:bCs/>
          <w:i/>
          <w:kern w:val="36"/>
          <w:sz w:val="24"/>
          <w:szCs w:val="24"/>
          <w:lang w:eastAsia="fr-FR"/>
        </w:rPr>
        <w:t>Rainforest</w:t>
      </w:r>
      <w:proofErr w:type="spellEnd"/>
      <w:r w:rsidRPr="00B05B6C">
        <w:rPr>
          <w:rFonts w:ascii="Times New Roman" w:eastAsia="Times New Roman" w:hAnsi="Times New Roman" w:cs="Times New Roman"/>
          <w:bCs/>
          <w:i/>
          <w:kern w:val="36"/>
          <w:sz w:val="24"/>
          <w:szCs w:val="24"/>
          <w:lang w:eastAsia="fr-FR"/>
        </w:rPr>
        <w:t xml:space="preserve"> Action Network</w:t>
      </w:r>
      <w:r w:rsidRPr="001845C0">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BankTrack</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Indigenous</w:t>
      </w:r>
      <w:proofErr w:type="spellEnd"/>
      <w:r w:rsidRPr="00B05B6C">
        <w:rPr>
          <w:rFonts w:ascii="Times New Roman" w:eastAsia="Times New Roman" w:hAnsi="Times New Roman" w:cs="Times New Roman"/>
          <w:bCs/>
          <w:i/>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Environmental</w:t>
      </w:r>
      <w:proofErr w:type="spellEnd"/>
      <w:r w:rsidRPr="00B05B6C">
        <w:rPr>
          <w:rFonts w:ascii="Times New Roman" w:eastAsia="Times New Roman" w:hAnsi="Times New Roman" w:cs="Times New Roman"/>
          <w:bCs/>
          <w:i/>
          <w:kern w:val="36"/>
          <w:sz w:val="24"/>
          <w:szCs w:val="24"/>
          <w:lang w:eastAsia="fr-FR"/>
        </w:rPr>
        <w:t xml:space="preserve"> Network</w:t>
      </w:r>
      <w:r w:rsidRPr="001845C0">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Oilchange</w:t>
      </w:r>
      <w:proofErr w:type="spellEnd"/>
      <w:r w:rsidRPr="00B05B6C">
        <w:rPr>
          <w:rFonts w:ascii="Times New Roman" w:eastAsia="Times New Roman" w:hAnsi="Times New Roman" w:cs="Times New Roman"/>
          <w:bCs/>
          <w:i/>
          <w:kern w:val="36"/>
          <w:sz w:val="24"/>
          <w:szCs w:val="24"/>
          <w:lang w:eastAsia="fr-FR"/>
        </w:rPr>
        <w:t xml:space="preserve"> International</w:t>
      </w:r>
      <w:r w:rsidRPr="001845C0">
        <w:rPr>
          <w:rFonts w:ascii="Times New Roman" w:eastAsia="Times New Roman" w:hAnsi="Times New Roman" w:cs="Times New Roman"/>
          <w:bCs/>
          <w:kern w:val="36"/>
          <w:sz w:val="24"/>
          <w:szCs w:val="24"/>
          <w:lang w:eastAsia="fr-FR"/>
        </w:rPr>
        <w:t xml:space="preserve">, </w:t>
      </w:r>
      <w:proofErr w:type="spellStart"/>
      <w:r w:rsidRPr="00B05B6C">
        <w:rPr>
          <w:rFonts w:ascii="Times New Roman" w:eastAsia="Times New Roman" w:hAnsi="Times New Roman" w:cs="Times New Roman"/>
          <w:bCs/>
          <w:i/>
          <w:kern w:val="36"/>
          <w:sz w:val="24"/>
          <w:szCs w:val="24"/>
          <w:lang w:eastAsia="fr-FR"/>
        </w:rPr>
        <w:t>ReclaimFinance</w:t>
      </w:r>
      <w:proofErr w:type="spellEnd"/>
      <w:r w:rsidRPr="001845C0">
        <w:rPr>
          <w:rFonts w:ascii="Times New Roman" w:eastAsia="Times New Roman" w:hAnsi="Times New Roman" w:cs="Times New Roman"/>
          <w:bCs/>
          <w:kern w:val="36"/>
          <w:sz w:val="24"/>
          <w:szCs w:val="24"/>
          <w:lang w:eastAsia="fr-FR"/>
        </w:rPr>
        <w:t xml:space="preserve"> et </w:t>
      </w:r>
      <w:proofErr w:type="spellStart"/>
      <w:r w:rsidRPr="00B05B6C">
        <w:rPr>
          <w:rFonts w:ascii="Times New Roman" w:eastAsia="Times New Roman" w:hAnsi="Times New Roman" w:cs="Times New Roman"/>
          <w:bCs/>
          <w:i/>
          <w:kern w:val="36"/>
          <w:sz w:val="24"/>
          <w:szCs w:val="24"/>
          <w:lang w:eastAsia="fr-FR"/>
        </w:rPr>
        <w:t>SierraClub</w:t>
      </w:r>
      <w:proofErr w:type="spellEnd"/>
      <w:r w:rsidRPr="001845C0">
        <w:rPr>
          <w:rFonts w:ascii="Times New Roman" w:eastAsia="Times New Roman" w:hAnsi="Times New Roman" w:cs="Times New Roman"/>
          <w:bCs/>
          <w:kern w:val="36"/>
          <w:sz w:val="24"/>
          <w:szCs w:val="24"/>
          <w:lang w:eastAsia="fr-FR"/>
        </w:rPr>
        <w:t xml:space="preserve"> (rapport RAN). Le document rapporte les financements de 35 banques privées internationales vers les filières fossiles (charbon, gaz, pétrole) sur la période 2016-2019 : cet intervalle est particulièrement intéressant puisque compris entre la déclaration des engagements de l’Accord de Paris en décembre 2015 et l’année 2020 très impactée par la pandémie de Covid-19. Le rapport précise les financements selon différentes sources d’énergie (sables bitumineux, pétrole et gaz arctiques, offshore, fracturés, gaz naturel liquéfié, centrales et mines de charbon) et calcule des scores liés aux politiques environnementales des banques.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L’échantillon final compte 140 observations (</w:t>
      </w:r>
      <w:r>
        <w:rPr>
          <w:rFonts w:ascii="Times New Roman" w:eastAsia="Times New Roman" w:hAnsi="Times New Roman" w:cs="Times New Roman"/>
          <w:bCs/>
          <w:kern w:val="36"/>
          <w:sz w:val="24"/>
          <w:szCs w:val="24"/>
          <w:lang w:eastAsia="fr-FR"/>
        </w:rPr>
        <w:t>données de panel pour</w:t>
      </w:r>
      <w:r w:rsidR="008A4522">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kern w:val="36"/>
          <w:sz w:val="24"/>
          <w:szCs w:val="24"/>
          <w:lang w:eastAsia="fr-FR"/>
        </w:rPr>
        <w:t>35 banques sur une période de 4 ans</w:t>
      </w:r>
      <w:r w:rsidR="00454682">
        <w:rPr>
          <w:rFonts w:ascii="Times New Roman" w:eastAsia="Times New Roman" w:hAnsi="Times New Roman" w:cs="Times New Roman"/>
          <w:bCs/>
          <w:kern w:val="36"/>
          <w:sz w:val="24"/>
          <w:szCs w:val="24"/>
          <w:lang w:eastAsia="fr-FR"/>
        </w:rPr>
        <w:t>)</w:t>
      </w:r>
      <w:r w:rsidR="008A4522">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Il comporte 19 des </w:t>
      </w:r>
      <w:r>
        <w:rPr>
          <w:rFonts w:ascii="Times New Roman" w:eastAsia="Times New Roman" w:hAnsi="Times New Roman" w:cs="Times New Roman"/>
          <w:bCs/>
          <w:kern w:val="36"/>
          <w:sz w:val="24"/>
          <w:szCs w:val="24"/>
          <w:lang w:eastAsia="fr-FR"/>
        </w:rPr>
        <w:t>20 premières banques mondiales qui possèdent</w:t>
      </w:r>
      <w:r w:rsidRPr="001845C0">
        <w:rPr>
          <w:rFonts w:ascii="Times New Roman" w:eastAsia="Times New Roman" w:hAnsi="Times New Roman" w:cs="Times New Roman"/>
          <w:bCs/>
          <w:kern w:val="36"/>
          <w:sz w:val="24"/>
          <w:szCs w:val="24"/>
          <w:lang w:eastAsia="fr-FR"/>
        </w:rPr>
        <w:t xml:space="preserve"> 57 645 milliards de dollars d’actifs fin 2019. Si l’on considère les origines géographiques, 6 viennent des Etats-Unis, 5 du Canada, 4 du Royaume-Uni, de France et de Chine, 3 du Japon, </w:t>
      </w:r>
      <w:r w:rsidRPr="00C6462A">
        <w:rPr>
          <w:rFonts w:ascii="Times New Roman" w:eastAsia="Times New Roman" w:hAnsi="Times New Roman" w:cs="Times New Roman"/>
          <w:bCs/>
          <w:kern w:val="36"/>
          <w:sz w:val="24"/>
          <w:szCs w:val="24"/>
          <w:lang w:eastAsia="fr-FR"/>
        </w:rPr>
        <w:t>2</w:t>
      </w:r>
      <w:r w:rsidRPr="001845C0">
        <w:rPr>
          <w:rFonts w:ascii="Times New Roman" w:eastAsia="Times New Roman" w:hAnsi="Times New Roman" w:cs="Times New Roman"/>
          <w:bCs/>
          <w:kern w:val="36"/>
          <w:sz w:val="24"/>
          <w:szCs w:val="24"/>
          <w:lang w:eastAsia="fr-FR"/>
        </w:rPr>
        <w:t xml:space="preserve"> de Suisse, d’Allemagne, d’Espagne et </w:t>
      </w:r>
      <w:r>
        <w:rPr>
          <w:rFonts w:ascii="Times New Roman" w:eastAsia="Times New Roman" w:hAnsi="Times New Roman" w:cs="Times New Roman"/>
          <w:bCs/>
          <w:kern w:val="36"/>
          <w:sz w:val="24"/>
          <w:szCs w:val="24"/>
          <w:lang w:eastAsia="fr-FR"/>
        </w:rPr>
        <w:t>d’Italie, et 1 des Pays-Bas (la liste des banques est présentée dans le tableau 3).</w:t>
      </w:r>
      <w:r w:rsidRPr="001845C0">
        <w:rPr>
          <w:rFonts w:ascii="Times New Roman" w:eastAsia="Times New Roman" w:hAnsi="Times New Roman" w:cs="Times New Roman"/>
          <w:bCs/>
          <w:kern w:val="36"/>
          <w:sz w:val="24"/>
          <w:szCs w:val="24"/>
          <w:lang w:eastAsia="fr-FR"/>
        </w:rPr>
        <w:t xml:space="preserve"> L’échantillon est assez homogène car tous les groupes bancaires sont internationalisés, diversifiés et issus de pays développés. Cependant, les pays présentent de vraies disparités dans la prise en compte politiqu</w:t>
      </w:r>
      <w:r w:rsidR="008A4522">
        <w:rPr>
          <w:rFonts w:ascii="Times New Roman" w:eastAsia="Times New Roman" w:hAnsi="Times New Roman" w:cs="Times New Roman"/>
          <w:bCs/>
          <w:kern w:val="36"/>
          <w:sz w:val="24"/>
          <w:szCs w:val="24"/>
          <w:lang w:eastAsia="fr-FR"/>
        </w:rPr>
        <w:t>e des enjeux environnementaux (</w:t>
      </w:r>
      <w:r w:rsidRPr="001845C0">
        <w:rPr>
          <w:rFonts w:ascii="Times New Roman" w:eastAsia="Times New Roman" w:hAnsi="Times New Roman" w:cs="Times New Roman"/>
          <w:bCs/>
          <w:kern w:val="36"/>
          <w:sz w:val="24"/>
          <w:szCs w:val="24"/>
          <w:lang w:eastAsia="fr-FR"/>
        </w:rPr>
        <w:t>différences entre Chine, Etats-Unis et Union Européenne par exemple</w:t>
      </w:r>
      <w:r w:rsidR="008A4522">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 xml:space="preserve">Les structures de propriété des </w:t>
      </w:r>
      <w:r w:rsidR="008A4522">
        <w:rPr>
          <w:rFonts w:ascii="Times New Roman" w:eastAsia="Times New Roman" w:hAnsi="Times New Roman" w:cs="Times New Roman"/>
          <w:bCs/>
          <w:kern w:val="36"/>
          <w:sz w:val="24"/>
          <w:szCs w:val="24"/>
          <w:lang w:eastAsia="fr-FR"/>
        </w:rPr>
        <w:t>banques sont également hétérogènes</w:t>
      </w:r>
      <w:r>
        <w:rPr>
          <w:rFonts w:ascii="Times New Roman" w:eastAsia="Times New Roman" w:hAnsi="Times New Roman" w:cs="Times New Roman"/>
          <w:bCs/>
          <w:kern w:val="36"/>
          <w:sz w:val="24"/>
          <w:szCs w:val="24"/>
          <w:lang w:eastAsia="fr-FR"/>
        </w:rPr>
        <w:t> : présence des pouvoirs publics dans les structures de propriété des banques chinoises et capital dilué avec présence d’investisseurs institutionnels pour les banques anglo-saxonnes.</w:t>
      </w:r>
    </w:p>
    <w:p w:rsidR="0042669B" w:rsidRPr="00482C55" w:rsidRDefault="0042669B" w:rsidP="0042669B">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482C55">
        <w:rPr>
          <w:rFonts w:ascii="Times New Roman" w:eastAsia="Times New Roman" w:hAnsi="Times New Roman" w:cs="Times New Roman"/>
          <w:b/>
          <w:bCs/>
          <w:kern w:val="36"/>
          <w:sz w:val="24"/>
          <w:szCs w:val="24"/>
          <w:lang w:eastAsia="fr-FR"/>
        </w:rPr>
        <w:t>Tableau 3 : Liste des banques de l’échantillon.</w:t>
      </w:r>
    </w:p>
    <w:tbl>
      <w:tblPr>
        <w:tblStyle w:val="Grilledutableau1"/>
        <w:tblW w:w="0" w:type="auto"/>
        <w:tblLook w:val="04A0" w:firstRow="1" w:lastRow="0" w:firstColumn="1" w:lastColumn="0" w:noHBand="0" w:noVBand="1"/>
      </w:tblPr>
      <w:tblGrid>
        <w:gridCol w:w="1980"/>
        <w:gridCol w:w="1276"/>
        <w:gridCol w:w="1151"/>
        <w:gridCol w:w="1417"/>
        <w:gridCol w:w="1631"/>
        <w:gridCol w:w="1607"/>
      </w:tblGrid>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686273">
              <w:rPr>
                <w:rFonts w:ascii="Times New Roman" w:eastAsia="Times New Roman" w:hAnsi="Times New Roman" w:cs="Times New Roman"/>
                <w:b/>
                <w:bCs/>
                <w:kern w:val="36"/>
                <w:sz w:val="18"/>
                <w:szCs w:val="18"/>
                <w:lang w:eastAsia="fr-FR"/>
              </w:rPr>
              <w:lastRenderedPageBreak/>
              <w:t>Banque</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686273">
              <w:rPr>
                <w:rFonts w:ascii="Times New Roman" w:eastAsia="Times New Roman" w:hAnsi="Times New Roman" w:cs="Times New Roman"/>
                <w:b/>
                <w:bCs/>
                <w:kern w:val="36"/>
                <w:sz w:val="18"/>
                <w:szCs w:val="18"/>
                <w:lang w:eastAsia="fr-FR"/>
              </w:rPr>
              <w:t xml:space="preserve">Pays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686273">
              <w:rPr>
                <w:rFonts w:ascii="Times New Roman" w:eastAsia="Times New Roman" w:hAnsi="Times New Roman" w:cs="Times New Roman"/>
                <w:b/>
                <w:bCs/>
                <w:kern w:val="36"/>
                <w:sz w:val="18"/>
                <w:szCs w:val="18"/>
                <w:lang w:eastAsia="fr-FR"/>
              </w:rPr>
              <w:t>Total Actifs 2019 (en milliards de dollars)</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686273">
              <w:rPr>
                <w:rFonts w:ascii="Times New Roman" w:eastAsia="Times New Roman" w:hAnsi="Times New Roman" w:cs="Times New Roman"/>
                <w:b/>
                <w:bCs/>
                <w:kern w:val="36"/>
                <w:sz w:val="18"/>
                <w:szCs w:val="18"/>
                <w:lang w:eastAsia="fr-FR"/>
              </w:rPr>
              <w:t>Variation Total Actifs 2016-2019, en %</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686273">
              <w:rPr>
                <w:rFonts w:ascii="Times New Roman" w:eastAsia="Times New Roman" w:hAnsi="Times New Roman" w:cs="Times New Roman"/>
                <w:b/>
                <w:bCs/>
                <w:kern w:val="36"/>
                <w:sz w:val="18"/>
                <w:szCs w:val="18"/>
                <w:lang w:eastAsia="fr-FR"/>
              </w:rPr>
              <w:t>Variation Financement Energies Fossiles (</w:t>
            </w:r>
            <w:r w:rsidRPr="004F4428">
              <w:rPr>
                <w:rFonts w:ascii="Times New Roman" w:eastAsia="Times New Roman" w:hAnsi="Times New Roman" w:cs="Times New Roman"/>
                <w:b/>
                <w:bCs/>
                <w:i/>
                <w:kern w:val="36"/>
                <w:sz w:val="18"/>
                <w:szCs w:val="18"/>
                <w:lang w:eastAsia="fr-FR"/>
              </w:rPr>
              <w:t>FEF</w:t>
            </w:r>
            <w:r w:rsidRPr="00686273">
              <w:rPr>
                <w:rFonts w:ascii="Times New Roman" w:eastAsia="Times New Roman" w:hAnsi="Times New Roman" w:cs="Times New Roman"/>
                <w:b/>
                <w:bCs/>
                <w:kern w:val="36"/>
                <w:sz w:val="18"/>
                <w:szCs w:val="18"/>
                <w:lang w:eastAsia="fr-FR"/>
              </w:rPr>
              <w:t>) 2016-2019, en %</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686273">
              <w:rPr>
                <w:rFonts w:ascii="Times New Roman" w:eastAsia="Times New Roman" w:hAnsi="Times New Roman" w:cs="Times New Roman"/>
                <w:b/>
                <w:bCs/>
                <w:kern w:val="36"/>
                <w:sz w:val="18"/>
                <w:szCs w:val="18"/>
                <w:lang w:eastAsia="fr-FR"/>
              </w:rPr>
              <w:t>Variation Croissance Energies Fossiles (</w:t>
            </w:r>
            <w:r w:rsidRPr="004F4428">
              <w:rPr>
                <w:rFonts w:ascii="Times New Roman" w:eastAsia="Times New Roman" w:hAnsi="Times New Roman" w:cs="Times New Roman"/>
                <w:b/>
                <w:bCs/>
                <w:i/>
                <w:kern w:val="36"/>
                <w:sz w:val="18"/>
                <w:szCs w:val="18"/>
                <w:lang w:eastAsia="fr-FR"/>
              </w:rPr>
              <w:t>CEF</w:t>
            </w:r>
            <w:r w:rsidRPr="00686273">
              <w:rPr>
                <w:rFonts w:ascii="Times New Roman" w:eastAsia="Times New Roman" w:hAnsi="Times New Roman" w:cs="Times New Roman"/>
                <w:b/>
                <w:bCs/>
                <w:kern w:val="36"/>
                <w:sz w:val="18"/>
                <w:szCs w:val="18"/>
                <w:lang w:eastAsia="fr-FR"/>
              </w:rPr>
              <w:t>) 2016-2019, en %</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686273">
              <w:rPr>
                <w:rFonts w:ascii="Times New Roman" w:eastAsia="Times New Roman" w:hAnsi="Times New Roman" w:cs="Times New Roman"/>
                <w:bCs/>
                <w:kern w:val="36"/>
                <w:sz w:val="18"/>
                <w:szCs w:val="18"/>
                <w:lang w:eastAsia="fr-FR"/>
              </w:rPr>
              <w:t>JPChase</w:t>
            </w:r>
            <w:proofErr w:type="spellEnd"/>
            <w:r w:rsidRPr="00686273">
              <w:rPr>
                <w:rFonts w:ascii="Times New Roman" w:eastAsia="Times New Roman" w:hAnsi="Times New Roman" w:cs="Times New Roman"/>
                <w:bCs/>
                <w:kern w:val="36"/>
                <w:sz w:val="18"/>
                <w:szCs w:val="18"/>
                <w:lang w:eastAsia="fr-FR"/>
              </w:rPr>
              <w:t xml:space="preserve"> Morgan</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Etats-Unis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2 687,379</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+7,9</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+1,5</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-16,7</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Wells Fargo</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Etats-Unis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1 927,555</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-0,1</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+31,1</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+80</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686273">
              <w:rPr>
                <w:rFonts w:ascii="Times New Roman" w:eastAsia="Times New Roman" w:hAnsi="Times New Roman" w:cs="Times New Roman"/>
                <w:bCs/>
                <w:kern w:val="36"/>
                <w:sz w:val="18"/>
                <w:szCs w:val="18"/>
                <w:lang w:eastAsia="fr-FR"/>
              </w:rPr>
              <w:t>Citi</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Etats-Unis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1 951,158</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+8,9</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+21,7</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+37,8</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Bank of </w:t>
            </w:r>
            <w:proofErr w:type="spellStart"/>
            <w:r w:rsidRPr="00686273">
              <w:rPr>
                <w:rFonts w:ascii="Times New Roman" w:eastAsia="Times New Roman" w:hAnsi="Times New Roman" w:cs="Times New Roman"/>
                <w:bCs/>
                <w:kern w:val="36"/>
                <w:sz w:val="18"/>
                <w:szCs w:val="18"/>
                <w:lang w:eastAsia="fr-FR"/>
              </w:rPr>
              <w:t>America</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Etats-Unis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2 434,079</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+11,2</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+27,9</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+22,3</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Royal Bank of Canada</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Canada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1 075,131</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+20,8</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+15,7</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+1,8</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MUFG (Mitsubishi UFJ Financial Group)</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Japon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2 800,250</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+13,1</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+25,7</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+40,9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Barclays</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Royaume-Uni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1 455,958</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-4,5</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-18,9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TD Bank (Toronto-Dominion)</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Canada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1 064,864</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+19,9</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+37,2</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686273">
              <w:rPr>
                <w:rFonts w:ascii="Times New Roman" w:eastAsia="Times New Roman" w:hAnsi="Times New Roman" w:cs="Times New Roman"/>
                <w:bCs/>
                <w:kern w:val="36"/>
                <w:sz w:val="18"/>
                <w:szCs w:val="18"/>
                <w:lang w:eastAsia="fr-FR"/>
              </w:rPr>
              <w:t>Mizuho</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Japon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1 778,501</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+10,8</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+47,5</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+25,2</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686273">
              <w:rPr>
                <w:rFonts w:ascii="Times New Roman" w:eastAsia="Times New Roman" w:hAnsi="Times New Roman" w:cs="Times New Roman"/>
                <w:bCs/>
                <w:kern w:val="36"/>
                <w:sz w:val="18"/>
                <w:szCs w:val="18"/>
                <w:lang w:eastAsia="fr-FR"/>
              </w:rPr>
              <w:t>Scotiabank</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Canada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817,228</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+20,9</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+38,6</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+87,5</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Morgan Stanley</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Etats-Unis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895,429</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+9,9</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-6,6</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+9,7</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HSBC</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Royaume-Uni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2 715,152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+14,3</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+49</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+82,4</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BNP Paribas</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France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2 424,479</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+5,5</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+72,4</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+118,3</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Goldman Sachs</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Etats-Unis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992,968</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+15,4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-6,4</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+5,6</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Bank of China</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Chine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3 294,782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+20,6</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-10,9</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-25,1</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Bank of </w:t>
            </w:r>
            <w:proofErr w:type="spellStart"/>
            <w:r w:rsidRPr="00686273">
              <w:rPr>
                <w:rFonts w:ascii="Times New Roman" w:eastAsia="Times New Roman" w:hAnsi="Times New Roman" w:cs="Times New Roman"/>
                <w:bCs/>
                <w:kern w:val="36"/>
                <w:sz w:val="18"/>
                <w:szCs w:val="18"/>
                <w:lang w:eastAsia="fr-FR"/>
              </w:rPr>
              <w:t>Montreal</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Canada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641,192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+22,6</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+30,1</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+0,5</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Crédit Suisse</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Suisse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792,412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-4,8</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-26,1</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-46,2</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ICBC (</w:t>
            </w:r>
            <w:proofErr w:type="spellStart"/>
            <w:r w:rsidRPr="00686273">
              <w:rPr>
                <w:rFonts w:ascii="Times New Roman" w:eastAsia="Times New Roman" w:hAnsi="Times New Roman" w:cs="Times New Roman"/>
                <w:bCs/>
                <w:kern w:val="36"/>
                <w:sz w:val="18"/>
                <w:szCs w:val="18"/>
                <w:lang w:eastAsia="fr-FR"/>
              </w:rPr>
              <w:t>Industrial</w:t>
            </w:r>
            <w:proofErr w:type="spellEnd"/>
            <w:r w:rsidRPr="00686273">
              <w:rPr>
                <w:rFonts w:ascii="Times New Roman" w:eastAsia="Times New Roman" w:hAnsi="Times New Roman" w:cs="Times New Roman"/>
                <w:bCs/>
                <w:kern w:val="36"/>
                <w:sz w:val="18"/>
                <w:szCs w:val="18"/>
                <w:lang w:eastAsia="fr-FR"/>
              </w:rPr>
              <w:t xml:space="preserve"> and Commercial Bank of China)</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Chine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3 509,410</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+26</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+7,2</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Deutsche Bank</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Allemagne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1 453,395</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-17,4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-45,3</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-63,9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SMBC Group (Sumitomo Mitsui Banking Corporation)</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Japon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1 759,533</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+13,6</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+82,8</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+72,9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CIBC (Canadian Imperial Bank of Commerce)</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Canada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572,469</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+32,4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+58,6</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+95,5</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Société Générale</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France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1 519,059</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-0,7</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+11,8</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+67,3</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China Construction Bank</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Chine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3 680,627</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+16,7</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-15,2</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-53,5</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Crédit Agricole</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France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2 252,282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+33,5</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+40,3</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+65,2</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ING</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Pays-Bas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995,142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+6,8</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-11,4</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-0,4</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Agricultural Bank of China</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Chine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3 599,888</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+22,2</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-7,3</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-24,2</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UBS (Union Bank of </w:t>
            </w:r>
            <w:proofErr w:type="spellStart"/>
            <w:r w:rsidRPr="00686273">
              <w:rPr>
                <w:rFonts w:ascii="Times New Roman" w:eastAsia="Times New Roman" w:hAnsi="Times New Roman" w:cs="Times New Roman"/>
                <w:bCs/>
                <w:kern w:val="36"/>
                <w:sz w:val="18"/>
                <w:szCs w:val="18"/>
                <w:lang w:eastAsia="fr-FR"/>
              </w:rPr>
              <w:t>Switzerland</w:t>
            </w:r>
            <w:proofErr w:type="spellEnd"/>
            <w:r w:rsidRPr="00686273">
              <w:rPr>
                <w:rFonts w:ascii="Times New Roman" w:eastAsia="Times New Roman" w:hAnsi="Times New Roman" w:cs="Times New Roman"/>
                <w:bCs/>
                <w:kern w:val="36"/>
                <w:sz w:val="18"/>
                <w:szCs w:val="18"/>
                <w:lang w:eastAsia="fr-FR"/>
              </w:rPr>
              <w:t>)</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Suisse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972,183</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-23,5</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+69,2</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BPCE </w:t>
            </w:r>
            <w:proofErr w:type="spellStart"/>
            <w:r w:rsidRPr="00686273">
              <w:rPr>
                <w:rFonts w:ascii="Times New Roman" w:eastAsia="Times New Roman" w:hAnsi="Times New Roman" w:cs="Times New Roman"/>
                <w:bCs/>
                <w:kern w:val="36"/>
                <w:sz w:val="18"/>
                <w:szCs w:val="18"/>
                <w:lang w:eastAsia="fr-FR"/>
              </w:rPr>
              <w:t>Natixis</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France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1 338,100</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+8,3</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+37,9</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+115,9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Santander</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Espagne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1 827,200</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+13,7</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+42,5</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+10,9</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Standard </w:t>
            </w:r>
            <w:proofErr w:type="spellStart"/>
            <w:r w:rsidRPr="00686273">
              <w:rPr>
                <w:rFonts w:ascii="Times New Roman" w:eastAsia="Times New Roman" w:hAnsi="Times New Roman" w:cs="Times New Roman"/>
                <w:bCs/>
                <w:kern w:val="36"/>
                <w:sz w:val="18"/>
                <w:szCs w:val="18"/>
                <w:lang w:eastAsia="fr-FR"/>
              </w:rPr>
              <w:t>Chartered</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Royaume-Uni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720,398</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+241,1</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+266,1</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686273">
              <w:rPr>
                <w:rFonts w:ascii="Times New Roman" w:eastAsia="Times New Roman" w:hAnsi="Times New Roman" w:cs="Times New Roman"/>
                <w:bCs/>
                <w:kern w:val="36"/>
                <w:sz w:val="18"/>
                <w:szCs w:val="18"/>
                <w:lang w:eastAsia="fr-FR"/>
              </w:rPr>
              <w:t>Unicredit</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Italie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855,650</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-0,5</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-30</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-66,6</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BBVA (Banco Bilbao </w:t>
            </w:r>
            <w:proofErr w:type="spellStart"/>
            <w:r w:rsidRPr="00686273">
              <w:rPr>
                <w:rFonts w:ascii="Times New Roman" w:eastAsia="Times New Roman" w:hAnsi="Times New Roman" w:cs="Times New Roman"/>
                <w:bCs/>
                <w:kern w:val="36"/>
                <w:sz w:val="18"/>
                <w:szCs w:val="18"/>
                <w:lang w:eastAsia="fr-FR"/>
              </w:rPr>
              <w:t>Vizcaya</w:t>
            </w:r>
            <w:proofErr w:type="spellEnd"/>
            <w:r w:rsidRPr="00686273">
              <w:rPr>
                <w:rFonts w:ascii="Times New Roman" w:eastAsia="Times New Roman" w:hAnsi="Times New Roman" w:cs="Times New Roman"/>
                <w:bCs/>
                <w:kern w:val="36"/>
                <w:sz w:val="18"/>
                <w:szCs w:val="18"/>
                <w:lang w:eastAsia="fr-FR"/>
              </w:rPr>
              <w:t xml:space="preserve"> </w:t>
            </w:r>
            <w:proofErr w:type="spellStart"/>
            <w:r w:rsidRPr="00686273">
              <w:rPr>
                <w:rFonts w:ascii="Times New Roman" w:eastAsia="Times New Roman" w:hAnsi="Times New Roman" w:cs="Times New Roman"/>
                <w:bCs/>
                <w:kern w:val="36"/>
                <w:sz w:val="18"/>
                <w:szCs w:val="18"/>
                <w:lang w:eastAsia="fr-FR"/>
              </w:rPr>
              <w:t>Argentaria</w:t>
            </w:r>
            <w:proofErr w:type="spellEnd"/>
            <w:r w:rsidRPr="00686273">
              <w:rPr>
                <w:rFonts w:ascii="Times New Roman" w:eastAsia="Times New Roman" w:hAnsi="Times New Roman" w:cs="Times New Roman"/>
                <w:bCs/>
                <w:kern w:val="36"/>
                <w:sz w:val="18"/>
                <w:szCs w:val="18"/>
                <w:lang w:eastAsia="fr-FR"/>
              </w:rPr>
              <w:t>)</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Espagne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782,533</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-3,4</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+1,1</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+19,3</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686273">
              <w:rPr>
                <w:rFonts w:ascii="Times New Roman" w:eastAsia="Times New Roman" w:hAnsi="Times New Roman" w:cs="Times New Roman"/>
                <w:bCs/>
                <w:kern w:val="36"/>
                <w:sz w:val="18"/>
                <w:szCs w:val="18"/>
                <w:lang w:eastAsia="fr-FR"/>
              </w:rPr>
              <w:t>Intesa</w:t>
            </w:r>
            <w:proofErr w:type="spellEnd"/>
            <w:r w:rsidRPr="00686273">
              <w:rPr>
                <w:rFonts w:ascii="Times New Roman" w:eastAsia="Times New Roman" w:hAnsi="Times New Roman" w:cs="Times New Roman"/>
                <w:bCs/>
                <w:kern w:val="36"/>
                <w:sz w:val="18"/>
                <w:szCs w:val="18"/>
                <w:lang w:eastAsia="fr-FR"/>
              </w:rPr>
              <w:t xml:space="preserve"> </w:t>
            </w:r>
            <w:proofErr w:type="spellStart"/>
            <w:r w:rsidRPr="00686273">
              <w:rPr>
                <w:rFonts w:ascii="Times New Roman" w:eastAsia="Times New Roman" w:hAnsi="Times New Roman" w:cs="Times New Roman"/>
                <w:bCs/>
                <w:kern w:val="36"/>
                <w:sz w:val="18"/>
                <w:szCs w:val="18"/>
                <w:lang w:eastAsia="fr-FR"/>
              </w:rPr>
              <w:t>Sanpaolo</w:t>
            </w:r>
            <w:proofErr w:type="spellEnd"/>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Italie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816,102</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+12,5</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-56,7</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-71,5</w:t>
            </w:r>
          </w:p>
        </w:tc>
      </w:tr>
      <w:tr w:rsidR="0042669B" w:rsidRPr="00686273" w:rsidTr="0042669B">
        <w:tc>
          <w:tcPr>
            <w:tcW w:w="1980"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RBS (Royal Bank of Scotland)</w:t>
            </w:r>
          </w:p>
        </w:tc>
        <w:tc>
          <w:tcPr>
            <w:tcW w:w="1276"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 xml:space="preserve">Royaume-Uni </w:t>
            </w:r>
          </w:p>
        </w:tc>
        <w:tc>
          <w:tcPr>
            <w:tcW w:w="115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723,040</w:t>
            </w:r>
          </w:p>
        </w:tc>
        <w:tc>
          <w:tcPr>
            <w:tcW w:w="141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-9,5</w:t>
            </w:r>
          </w:p>
        </w:tc>
        <w:tc>
          <w:tcPr>
            <w:tcW w:w="1631"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-54,8</w:t>
            </w:r>
          </w:p>
        </w:tc>
        <w:tc>
          <w:tcPr>
            <w:tcW w:w="1607" w:type="dxa"/>
          </w:tcPr>
          <w:p w:rsidR="0042669B" w:rsidRPr="00686273"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686273">
              <w:rPr>
                <w:rFonts w:ascii="Times New Roman" w:eastAsia="Times New Roman" w:hAnsi="Times New Roman" w:cs="Times New Roman"/>
                <w:bCs/>
                <w:kern w:val="36"/>
                <w:sz w:val="18"/>
                <w:szCs w:val="18"/>
                <w:lang w:eastAsia="fr-FR"/>
              </w:rPr>
              <w:t>-68,1</w:t>
            </w:r>
          </w:p>
        </w:tc>
      </w:tr>
    </w:tbl>
    <w:p w:rsidR="0042669B" w:rsidRDefault="0042669B"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sidRPr="00255584">
        <w:rPr>
          <w:rFonts w:ascii="Times New Roman" w:eastAsia="Times New Roman" w:hAnsi="Times New Roman" w:cs="Times New Roman"/>
          <w:b/>
          <w:bCs/>
          <w:kern w:val="36"/>
          <w:sz w:val="24"/>
          <w:szCs w:val="24"/>
          <w:lang w:eastAsia="fr-FR"/>
        </w:rPr>
        <w:t xml:space="preserve">3.2 </w:t>
      </w:r>
      <w:r w:rsidR="00EB3251" w:rsidRPr="00255584">
        <w:rPr>
          <w:rFonts w:ascii="Times New Roman" w:eastAsia="Times New Roman" w:hAnsi="Times New Roman" w:cs="Times New Roman"/>
          <w:b/>
          <w:bCs/>
          <w:kern w:val="36"/>
          <w:sz w:val="24"/>
          <w:szCs w:val="24"/>
          <w:lang w:eastAsia="fr-FR"/>
        </w:rPr>
        <w:t>Variables dépendantes</w:t>
      </w:r>
    </w:p>
    <w:p w:rsidR="00EB3251" w:rsidRPr="001845C0" w:rsidRDefault="00EB3251" w:rsidP="00623282">
      <w:pPr>
        <w:spacing w:after="120" w:line="300" w:lineRule="exact"/>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Les mesures de DVI ont été pensées pour couvrir deux dimensions : la </w:t>
      </w:r>
      <w:r w:rsidR="00454682">
        <w:rPr>
          <w:rFonts w:ascii="Times New Roman" w:eastAsia="Times New Roman" w:hAnsi="Times New Roman" w:cs="Times New Roman"/>
          <w:bCs/>
          <w:kern w:val="36"/>
          <w:sz w:val="24"/>
          <w:szCs w:val="24"/>
          <w:lang w:eastAsia="fr-FR"/>
        </w:rPr>
        <w:t>nature de l’information (sociétale et environnementale</w:t>
      </w:r>
      <w:r w:rsidRPr="001845C0">
        <w:rPr>
          <w:rFonts w:ascii="Times New Roman" w:eastAsia="Times New Roman" w:hAnsi="Times New Roman" w:cs="Times New Roman"/>
          <w:bCs/>
          <w:kern w:val="36"/>
          <w:sz w:val="24"/>
          <w:szCs w:val="24"/>
          <w:lang w:eastAsia="fr-FR"/>
        </w:rPr>
        <w:t>) et la distinction volume/qualité (</w:t>
      </w:r>
      <w:r w:rsidR="00623282">
        <w:rPr>
          <w:rFonts w:ascii="Times New Roman" w:eastAsia="Times New Roman" w:hAnsi="Times New Roman" w:cs="Times New Roman"/>
          <w:bCs/>
          <w:kern w:val="36"/>
          <w:sz w:val="24"/>
          <w:szCs w:val="24"/>
          <w:lang w:eastAsia="fr-FR"/>
        </w:rPr>
        <w:t>nombre d’</w:t>
      </w:r>
      <w:r w:rsidR="00623282" w:rsidRPr="001845C0">
        <w:rPr>
          <w:rFonts w:ascii="Times New Roman" w:eastAsia="Times New Roman" w:hAnsi="Times New Roman" w:cs="Times New Roman"/>
          <w:bCs/>
          <w:kern w:val="36"/>
          <w:sz w:val="24"/>
          <w:szCs w:val="24"/>
          <w:lang w:eastAsia="fr-FR"/>
        </w:rPr>
        <w:t>engagements et politiques internes versus réponses à des rapports standardisés internationaux</w:t>
      </w:r>
      <w:r w:rsidR="00623282">
        <w:rPr>
          <w:rFonts w:ascii="Times New Roman" w:eastAsia="Times New Roman" w:hAnsi="Times New Roman" w:cs="Times New Roman"/>
          <w:bCs/>
          <w:kern w:val="36"/>
          <w:sz w:val="24"/>
          <w:szCs w:val="24"/>
          <w:lang w:eastAsia="fr-FR"/>
        </w:rPr>
        <w:t xml:space="preserve">, soit une </w:t>
      </w:r>
      <w:r w:rsidR="00755B4D">
        <w:rPr>
          <w:rFonts w:ascii="Times New Roman" w:eastAsia="Times New Roman" w:hAnsi="Times New Roman" w:cs="Times New Roman"/>
          <w:bCs/>
          <w:kern w:val="36"/>
          <w:sz w:val="24"/>
          <w:szCs w:val="24"/>
          <w:lang w:eastAsia="fr-FR"/>
        </w:rPr>
        <w:lastRenderedPageBreak/>
        <w:t xml:space="preserve">information normée et reprise par </w:t>
      </w:r>
      <w:r w:rsidR="00623282">
        <w:rPr>
          <w:rFonts w:ascii="Times New Roman" w:eastAsia="Times New Roman" w:hAnsi="Times New Roman" w:cs="Times New Roman"/>
          <w:bCs/>
          <w:kern w:val="36"/>
          <w:sz w:val="24"/>
          <w:szCs w:val="24"/>
          <w:lang w:eastAsia="fr-FR"/>
        </w:rPr>
        <w:t>un tiers</w:t>
      </w:r>
      <w:r w:rsidRPr="001845C0">
        <w:rPr>
          <w:rFonts w:ascii="Times New Roman" w:eastAsia="Times New Roman" w:hAnsi="Times New Roman" w:cs="Times New Roman"/>
          <w:bCs/>
          <w:kern w:val="36"/>
          <w:sz w:val="24"/>
          <w:szCs w:val="24"/>
          <w:lang w:eastAsia="fr-FR"/>
        </w:rPr>
        <w:t>). Couvrir un large spectre d’information reflète la complémentarité des pol</w:t>
      </w:r>
      <w:r w:rsidR="00454682">
        <w:rPr>
          <w:rFonts w:ascii="Times New Roman" w:eastAsia="Times New Roman" w:hAnsi="Times New Roman" w:cs="Times New Roman"/>
          <w:bCs/>
          <w:kern w:val="36"/>
          <w:sz w:val="24"/>
          <w:szCs w:val="24"/>
          <w:lang w:eastAsia="fr-FR"/>
        </w:rPr>
        <w:t>itiques sociétale</w:t>
      </w:r>
      <w:r>
        <w:rPr>
          <w:rFonts w:ascii="Times New Roman" w:eastAsia="Times New Roman" w:hAnsi="Times New Roman" w:cs="Times New Roman"/>
          <w:bCs/>
          <w:kern w:val="36"/>
          <w:sz w:val="24"/>
          <w:szCs w:val="24"/>
          <w:lang w:eastAsia="fr-FR"/>
        </w:rPr>
        <w:t xml:space="preserve"> et environnementale</w:t>
      </w:r>
      <w:r w:rsidRPr="001845C0">
        <w:rPr>
          <w:rFonts w:ascii="Times New Roman" w:eastAsia="Times New Roman" w:hAnsi="Times New Roman" w:cs="Times New Roman"/>
          <w:bCs/>
          <w:kern w:val="36"/>
          <w:sz w:val="24"/>
          <w:szCs w:val="24"/>
          <w:lang w:eastAsia="fr-FR"/>
        </w:rPr>
        <w:t xml:space="preserve"> identifiée par plusieurs auteurs. Par exemple, sur un échantillon de 609 firmes et 1 496 </w:t>
      </w:r>
      <w:proofErr w:type="spellStart"/>
      <w:r w:rsidRPr="001845C0">
        <w:rPr>
          <w:rFonts w:ascii="Times New Roman" w:eastAsia="Times New Roman" w:hAnsi="Times New Roman" w:cs="Times New Roman"/>
          <w:bCs/>
          <w:kern w:val="36"/>
          <w:sz w:val="24"/>
          <w:szCs w:val="24"/>
          <w:lang w:eastAsia="fr-FR"/>
        </w:rPr>
        <w:t>reportings</w:t>
      </w:r>
      <w:proofErr w:type="spellEnd"/>
      <w:r w:rsidRPr="001845C0">
        <w:rPr>
          <w:rFonts w:ascii="Times New Roman" w:eastAsia="Times New Roman" w:hAnsi="Times New Roman" w:cs="Times New Roman"/>
          <w:bCs/>
          <w:kern w:val="36"/>
          <w:sz w:val="24"/>
          <w:szCs w:val="24"/>
          <w:lang w:eastAsia="fr-FR"/>
        </w:rPr>
        <w:t xml:space="preserve"> aux Etats-Unis, Guo et Yang (2017) concluent à un fort lien positif entre la divulgation d’information </w:t>
      </w:r>
      <w:r>
        <w:rPr>
          <w:rFonts w:ascii="Times New Roman" w:eastAsia="Times New Roman" w:hAnsi="Times New Roman" w:cs="Times New Roman"/>
          <w:bCs/>
          <w:kern w:val="36"/>
          <w:sz w:val="24"/>
          <w:szCs w:val="24"/>
          <w:lang w:eastAsia="fr-FR"/>
        </w:rPr>
        <w:t>sociétale et environnementale.</w:t>
      </w:r>
      <w:r w:rsidR="00623282">
        <w:rPr>
          <w:rFonts w:ascii="Times New Roman" w:eastAsia="Times New Roman" w:hAnsi="Times New Roman" w:cs="Times New Roman"/>
          <w:bCs/>
          <w:kern w:val="36"/>
          <w:sz w:val="24"/>
          <w:szCs w:val="24"/>
          <w:lang w:eastAsia="fr-FR"/>
        </w:rPr>
        <w:t xml:space="preserve"> Par ailleurs, les deux natures d’information peuvent constituer des leviers de légitimité pour les banques.</w:t>
      </w:r>
    </w:p>
    <w:p w:rsidR="00EB3251" w:rsidRPr="003D6B2C"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Les engage</w:t>
      </w:r>
      <w:r>
        <w:rPr>
          <w:rFonts w:ascii="Times New Roman" w:eastAsia="Times New Roman" w:hAnsi="Times New Roman" w:cs="Times New Roman"/>
          <w:bCs/>
          <w:kern w:val="36"/>
          <w:sz w:val="24"/>
          <w:szCs w:val="24"/>
          <w:lang w:eastAsia="fr-FR"/>
        </w:rPr>
        <w:t>ments internes des banques proviennent</w:t>
      </w:r>
      <w:r w:rsidR="001238DD">
        <w:rPr>
          <w:rFonts w:ascii="Times New Roman" w:eastAsia="Times New Roman" w:hAnsi="Times New Roman" w:cs="Times New Roman"/>
          <w:bCs/>
          <w:kern w:val="36"/>
          <w:sz w:val="24"/>
          <w:szCs w:val="24"/>
          <w:lang w:eastAsia="fr-FR"/>
        </w:rPr>
        <w:t xml:space="preserve"> du site de </w:t>
      </w:r>
      <w:proofErr w:type="spellStart"/>
      <w:r w:rsidRPr="001238DD">
        <w:rPr>
          <w:rFonts w:ascii="Times New Roman" w:eastAsia="Times New Roman" w:hAnsi="Times New Roman" w:cs="Times New Roman"/>
          <w:bCs/>
          <w:i/>
          <w:kern w:val="36"/>
          <w:sz w:val="24"/>
          <w:szCs w:val="24"/>
          <w:lang w:eastAsia="fr-FR"/>
        </w:rPr>
        <w:t>BankTrack</w:t>
      </w:r>
      <w:proofErr w:type="spellEnd"/>
      <w:r w:rsidRPr="001845C0">
        <w:rPr>
          <w:rFonts w:ascii="Times New Roman" w:eastAsia="Times New Roman" w:hAnsi="Times New Roman" w:cs="Times New Roman"/>
          <w:bCs/>
          <w:kern w:val="36"/>
          <w:sz w:val="24"/>
          <w:szCs w:val="24"/>
          <w:lang w:eastAsia="fr-FR"/>
        </w:rPr>
        <w:t xml:space="preserve">, fondation néerlandaise créée en 2004 qui collecte et diffuse les financements des banques commerciales privées internationales pouvant avoir un impact négatif sur la population et son environnement. Les politiques </w:t>
      </w:r>
      <w:r w:rsidR="00623282">
        <w:rPr>
          <w:rFonts w:ascii="Times New Roman" w:eastAsia="Times New Roman" w:hAnsi="Times New Roman" w:cs="Times New Roman"/>
          <w:bCs/>
          <w:kern w:val="36"/>
          <w:sz w:val="24"/>
          <w:szCs w:val="24"/>
          <w:lang w:eastAsia="fr-FR"/>
        </w:rPr>
        <w:t xml:space="preserve">d’investissement </w:t>
      </w:r>
      <w:r w:rsidRPr="001845C0">
        <w:rPr>
          <w:rFonts w:ascii="Times New Roman" w:eastAsia="Times New Roman" w:hAnsi="Times New Roman" w:cs="Times New Roman"/>
          <w:bCs/>
          <w:kern w:val="36"/>
          <w:sz w:val="24"/>
          <w:szCs w:val="24"/>
          <w:lang w:eastAsia="fr-FR"/>
        </w:rPr>
        <w:t xml:space="preserve">et </w:t>
      </w:r>
      <w:r w:rsidR="003D6B2C">
        <w:rPr>
          <w:rFonts w:ascii="Times New Roman" w:eastAsia="Times New Roman" w:hAnsi="Times New Roman" w:cs="Times New Roman"/>
          <w:bCs/>
          <w:kern w:val="36"/>
          <w:sz w:val="24"/>
          <w:szCs w:val="24"/>
          <w:lang w:eastAsia="fr-FR"/>
        </w:rPr>
        <w:t xml:space="preserve">les </w:t>
      </w:r>
      <w:r w:rsidRPr="001845C0">
        <w:rPr>
          <w:rFonts w:ascii="Times New Roman" w:eastAsia="Times New Roman" w:hAnsi="Times New Roman" w:cs="Times New Roman"/>
          <w:bCs/>
          <w:kern w:val="36"/>
          <w:sz w:val="24"/>
          <w:szCs w:val="24"/>
          <w:lang w:eastAsia="fr-FR"/>
        </w:rPr>
        <w:t xml:space="preserve">engagements individuels des banques sont issus de leurs sites internet : recensés chaque année, ils sont cumulés depuis 2015, en distinguant les politiques sociétales (exemples : anti-corruption, transparence, code d’éthique…) et les politiques environnementales (exemples : stratégies sectorielles dont énergétiques, management du risque environnemental…). </w:t>
      </w:r>
      <w:r w:rsidR="003D6B2C">
        <w:rPr>
          <w:rFonts w:ascii="Times New Roman" w:eastAsia="Times New Roman" w:hAnsi="Times New Roman" w:cs="Times New Roman"/>
          <w:bCs/>
          <w:kern w:val="36"/>
          <w:sz w:val="24"/>
          <w:szCs w:val="24"/>
          <w:lang w:eastAsia="fr-FR"/>
        </w:rPr>
        <w:t xml:space="preserve">Une grille de codage spécifique a été construite pour reclasser ces politiques d’investissement. </w:t>
      </w:r>
      <w:r w:rsidRPr="001845C0">
        <w:rPr>
          <w:rFonts w:ascii="Times New Roman" w:eastAsia="Times New Roman" w:hAnsi="Times New Roman" w:cs="Times New Roman"/>
          <w:bCs/>
          <w:kern w:val="36"/>
          <w:sz w:val="24"/>
          <w:szCs w:val="24"/>
          <w:lang w:eastAsia="fr-FR"/>
        </w:rPr>
        <w:t xml:space="preserve">Deux premières variables dépendantes sont ainsi calculées : </w:t>
      </w:r>
      <w:r w:rsidR="001A2BF4">
        <w:rPr>
          <w:rFonts w:ascii="Times New Roman" w:eastAsia="Times New Roman" w:hAnsi="Times New Roman" w:cs="Times New Roman"/>
          <w:bCs/>
          <w:i/>
          <w:kern w:val="36"/>
          <w:sz w:val="24"/>
          <w:szCs w:val="24"/>
          <w:lang w:eastAsia="fr-FR"/>
        </w:rPr>
        <w:t xml:space="preserve">PIS </w:t>
      </w:r>
      <w:r w:rsidR="001A2BF4">
        <w:rPr>
          <w:rFonts w:ascii="Times New Roman" w:eastAsia="Times New Roman" w:hAnsi="Times New Roman" w:cs="Times New Roman"/>
          <w:bCs/>
          <w:kern w:val="36"/>
          <w:sz w:val="24"/>
          <w:szCs w:val="24"/>
          <w:lang w:eastAsia="fr-FR"/>
        </w:rPr>
        <w:t>(Politiques d’Investissement Sociétales)</w:t>
      </w:r>
      <w:r w:rsidRPr="001845C0">
        <w:rPr>
          <w:rFonts w:ascii="Times New Roman" w:eastAsia="Times New Roman" w:hAnsi="Times New Roman" w:cs="Times New Roman"/>
          <w:bCs/>
          <w:kern w:val="36"/>
          <w:sz w:val="24"/>
          <w:szCs w:val="24"/>
          <w:lang w:eastAsia="fr-FR"/>
        </w:rPr>
        <w:t xml:space="preserve"> et </w:t>
      </w:r>
      <w:r w:rsidR="001A2BF4">
        <w:rPr>
          <w:rFonts w:ascii="Times New Roman" w:eastAsia="Times New Roman" w:hAnsi="Times New Roman" w:cs="Times New Roman"/>
          <w:bCs/>
          <w:i/>
          <w:kern w:val="36"/>
          <w:sz w:val="24"/>
          <w:szCs w:val="24"/>
          <w:lang w:eastAsia="fr-FR"/>
        </w:rPr>
        <w:t xml:space="preserve">PIE </w:t>
      </w:r>
      <w:r w:rsidR="001A2BF4">
        <w:rPr>
          <w:rFonts w:ascii="Times New Roman" w:eastAsia="Times New Roman" w:hAnsi="Times New Roman" w:cs="Times New Roman"/>
          <w:bCs/>
          <w:kern w:val="36"/>
          <w:sz w:val="24"/>
          <w:szCs w:val="24"/>
          <w:lang w:eastAsia="fr-FR"/>
        </w:rPr>
        <w:t>(Politiques d’Investissement Environnementales)</w:t>
      </w:r>
      <w:r w:rsidRPr="001845C0">
        <w:rPr>
          <w:rFonts w:ascii="Times New Roman" w:eastAsia="Times New Roman" w:hAnsi="Times New Roman" w:cs="Times New Roman"/>
          <w:bCs/>
          <w:i/>
          <w:kern w:val="36"/>
          <w:sz w:val="24"/>
          <w:szCs w:val="24"/>
          <w:lang w:eastAsia="fr-FR"/>
        </w:rPr>
        <w:t>.</w:t>
      </w:r>
      <w:r w:rsidR="003D6B2C">
        <w:rPr>
          <w:rFonts w:ascii="Times New Roman" w:eastAsia="Times New Roman" w:hAnsi="Times New Roman" w:cs="Times New Roman"/>
          <w:bCs/>
          <w:i/>
          <w:kern w:val="36"/>
          <w:sz w:val="24"/>
          <w:szCs w:val="24"/>
          <w:lang w:eastAsia="fr-FR"/>
        </w:rPr>
        <w:t xml:space="preserve">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Les réponses des banques aux rapports standardisés internationaux permette</w:t>
      </w:r>
      <w:r w:rsidR="003D6B2C">
        <w:rPr>
          <w:rFonts w:ascii="Times New Roman" w:eastAsia="Times New Roman" w:hAnsi="Times New Roman" w:cs="Times New Roman"/>
          <w:bCs/>
          <w:kern w:val="36"/>
          <w:sz w:val="24"/>
          <w:szCs w:val="24"/>
          <w:lang w:eastAsia="fr-FR"/>
        </w:rPr>
        <w:t>nt de calculer deux autres indicateurs</w:t>
      </w:r>
      <w:r w:rsidRPr="001845C0">
        <w:rPr>
          <w:rFonts w:ascii="Times New Roman" w:eastAsia="Times New Roman" w:hAnsi="Times New Roman" w:cs="Times New Roman"/>
          <w:bCs/>
          <w:kern w:val="36"/>
          <w:sz w:val="24"/>
          <w:szCs w:val="24"/>
          <w:lang w:eastAsia="fr-FR"/>
        </w:rPr>
        <w:t xml:space="preserve"> de DVI à partir</w:t>
      </w:r>
      <w:r w:rsidR="007D479A">
        <w:rPr>
          <w:rFonts w:ascii="Times New Roman" w:eastAsia="Times New Roman" w:hAnsi="Times New Roman" w:cs="Times New Roman"/>
          <w:bCs/>
          <w:kern w:val="36"/>
          <w:sz w:val="24"/>
          <w:szCs w:val="24"/>
          <w:lang w:eastAsia="fr-FR"/>
        </w:rPr>
        <w:t xml:space="preserve"> du </w:t>
      </w:r>
      <w:r w:rsidR="007D479A" w:rsidRPr="001238DD">
        <w:rPr>
          <w:rFonts w:ascii="Times New Roman" w:eastAsia="Times New Roman" w:hAnsi="Times New Roman" w:cs="Times New Roman"/>
          <w:bCs/>
          <w:i/>
          <w:kern w:val="36"/>
          <w:sz w:val="24"/>
          <w:szCs w:val="24"/>
          <w:lang w:eastAsia="fr-FR"/>
        </w:rPr>
        <w:t>Global Report Initiative</w:t>
      </w:r>
      <w:r w:rsidR="007D479A">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kern w:val="36"/>
          <w:sz w:val="24"/>
          <w:szCs w:val="24"/>
          <w:lang w:eastAsia="fr-FR"/>
        </w:rPr>
        <w:t xml:space="preserve">et du </w:t>
      </w:r>
      <w:proofErr w:type="spellStart"/>
      <w:r w:rsidRPr="001238DD">
        <w:rPr>
          <w:rFonts w:ascii="Times New Roman" w:eastAsia="Times New Roman" w:hAnsi="Times New Roman" w:cs="Times New Roman"/>
          <w:bCs/>
          <w:i/>
          <w:kern w:val="36"/>
          <w:sz w:val="24"/>
          <w:szCs w:val="24"/>
          <w:lang w:eastAsia="fr-FR"/>
        </w:rPr>
        <w:t>Carbon</w:t>
      </w:r>
      <w:proofErr w:type="spellEnd"/>
      <w:r w:rsidRPr="001238DD">
        <w:rPr>
          <w:rFonts w:ascii="Times New Roman" w:eastAsia="Times New Roman" w:hAnsi="Times New Roman" w:cs="Times New Roman"/>
          <w:bCs/>
          <w:i/>
          <w:kern w:val="36"/>
          <w:sz w:val="24"/>
          <w:szCs w:val="24"/>
          <w:lang w:eastAsia="fr-FR"/>
        </w:rPr>
        <w:t xml:space="preserve"> </w:t>
      </w:r>
      <w:proofErr w:type="spellStart"/>
      <w:r w:rsidRPr="001238DD">
        <w:rPr>
          <w:rFonts w:ascii="Times New Roman" w:eastAsia="Times New Roman" w:hAnsi="Times New Roman" w:cs="Times New Roman"/>
          <w:bCs/>
          <w:i/>
          <w:kern w:val="36"/>
          <w:sz w:val="24"/>
          <w:szCs w:val="24"/>
          <w:lang w:eastAsia="fr-FR"/>
        </w:rPr>
        <w:t>Disclosure</w:t>
      </w:r>
      <w:proofErr w:type="spellEnd"/>
      <w:r w:rsidRPr="001238DD">
        <w:rPr>
          <w:rFonts w:ascii="Times New Roman" w:eastAsia="Times New Roman" w:hAnsi="Times New Roman" w:cs="Times New Roman"/>
          <w:bCs/>
          <w:i/>
          <w:kern w:val="36"/>
          <w:sz w:val="24"/>
          <w:szCs w:val="24"/>
          <w:lang w:eastAsia="fr-FR"/>
        </w:rPr>
        <w:t xml:space="preserve"> Project</w:t>
      </w:r>
      <w:r w:rsidRPr="001845C0">
        <w:rPr>
          <w:rFonts w:ascii="Times New Roman" w:eastAsia="Times New Roman" w:hAnsi="Times New Roman" w:cs="Times New Roman"/>
          <w:bCs/>
          <w:kern w:val="36"/>
          <w:sz w:val="24"/>
          <w:szCs w:val="24"/>
          <w:lang w:eastAsia="fr-FR"/>
        </w:rPr>
        <w:t xml:space="preserve">.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La structure des standards </w:t>
      </w:r>
      <w:r>
        <w:rPr>
          <w:rFonts w:ascii="Times New Roman" w:eastAsia="Times New Roman" w:hAnsi="Times New Roman" w:cs="Times New Roman"/>
          <w:bCs/>
          <w:kern w:val="36"/>
          <w:sz w:val="24"/>
          <w:szCs w:val="24"/>
          <w:lang w:eastAsia="fr-FR"/>
        </w:rPr>
        <w:t xml:space="preserve">du GRI </w:t>
      </w:r>
      <w:r w:rsidRPr="001845C0">
        <w:rPr>
          <w:rFonts w:ascii="Times New Roman" w:eastAsia="Times New Roman" w:hAnsi="Times New Roman" w:cs="Times New Roman"/>
          <w:bCs/>
          <w:kern w:val="36"/>
          <w:sz w:val="24"/>
          <w:szCs w:val="24"/>
          <w:lang w:eastAsia="fr-FR"/>
        </w:rPr>
        <w:t xml:space="preserve">s’articule autour de la stratégie, de la gouvernance, de l’éthique et des parties prenantes de l’entreprise. Pour cette étude, un score compris entre 0 et 20 points, variable </w:t>
      </w:r>
      <w:r w:rsidRPr="001845C0">
        <w:rPr>
          <w:rFonts w:ascii="Times New Roman" w:eastAsia="Times New Roman" w:hAnsi="Times New Roman" w:cs="Times New Roman"/>
          <w:bCs/>
          <w:i/>
          <w:kern w:val="36"/>
          <w:sz w:val="24"/>
          <w:szCs w:val="24"/>
          <w:lang w:eastAsia="fr-FR"/>
        </w:rPr>
        <w:t>GRI</w:t>
      </w:r>
      <w:r w:rsidRPr="001845C0">
        <w:rPr>
          <w:rFonts w:ascii="Times New Roman" w:eastAsia="Times New Roman" w:hAnsi="Times New Roman" w:cs="Times New Roman"/>
          <w:bCs/>
          <w:kern w:val="36"/>
          <w:sz w:val="24"/>
          <w:szCs w:val="24"/>
          <w:lang w:eastAsia="fr-FR"/>
        </w:rPr>
        <w:t xml:space="preserve">, est recalculé selon le degré de conformité aux standards relevé par la GRI, du recours à un audit ou une assurance externe, </w:t>
      </w:r>
      <w:r w:rsidR="007D479A">
        <w:rPr>
          <w:rFonts w:ascii="Times New Roman" w:eastAsia="Times New Roman" w:hAnsi="Times New Roman" w:cs="Times New Roman"/>
          <w:bCs/>
          <w:kern w:val="36"/>
          <w:sz w:val="24"/>
          <w:szCs w:val="24"/>
          <w:lang w:eastAsia="fr-FR"/>
        </w:rPr>
        <w:t xml:space="preserve">et </w:t>
      </w:r>
      <w:r w:rsidRPr="001845C0">
        <w:rPr>
          <w:rFonts w:ascii="Times New Roman" w:eastAsia="Times New Roman" w:hAnsi="Times New Roman" w:cs="Times New Roman"/>
          <w:bCs/>
          <w:kern w:val="36"/>
          <w:sz w:val="24"/>
          <w:szCs w:val="24"/>
          <w:lang w:eastAsia="fr-FR"/>
        </w:rPr>
        <w:t>des références à différentes initiatives internationales (UNGC, ISO, SDG, AA1000, ISAE3000…).</w:t>
      </w:r>
      <w:r w:rsidR="00755B4D">
        <w:rPr>
          <w:rFonts w:ascii="Times New Roman" w:eastAsia="Times New Roman" w:hAnsi="Times New Roman" w:cs="Times New Roman"/>
          <w:bCs/>
          <w:kern w:val="36"/>
          <w:sz w:val="24"/>
          <w:szCs w:val="24"/>
          <w:lang w:eastAsia="fr-FR"/>
        </w:rPr>
        <w:t xml:space="preserve"> Le score intègre le cas de banques soumises à un audit sociétal obligatoire dans leur pays d’origine.</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lastRenderedPageBreak/>
        <w:t>La méthodolog</w:t>
      </w:r>
      <w:r w:rsidR="001238DD">
        <w:rPr>
          <w:rFonts w:ascii="Times New Roman" w:eastAsia="Times New Roman" w:hAnsi="Times New Roman" w:cs="Times New Roman"/>
          <w:bCs/>
          <w:kern w:val="36"/>
          <w:sz w:val="24"/>
          <w:szCs w:val="24"/>
          <w:lang w:eastAsia="fr-FR"/>
        </w:rPr>
        <w:t xml:space="preserve">ie </w:t>
      </w:r>
      <w:r w:rsidRPr="001845C0">
        <w:rPr>
          <w:rFonts w:ascii="Times New Roman" w:eastAsia="Times New Roman" w:hAnsi="Times New Roman" w:cs="Times New Roman"/>
          <w:bCs/>
          <w:kern w:val="36"/>
          <w:sz w:val="24"/>
          <w:szCs w:val="24"/>
          <w:lang w:eastAsia="fr-FR"/>
        </w:rPr>
        <w:t>du CDP évalue le niveau de détail et d’exhaustivité des réponses des participants ai</w:t>
      </w:r>
      <w:r>
        <w:rPr>
          <w:rFonts w:ascii="Times New Roman" w:eastAsia="Times New Roman" w:hAnsi="Times New Roman" w:cs="Times New Roman"/>
          <w:bCs/>
          <w:kern w:val="36"/>
          <w:sz w:val="24"/>
          <w:szCs w:val="24"/>
          <w:lang w:eastAsia="fr-FR"/>
        </w:rPr>
        <w:t>nsi que la</w:t>
      </w:r>
      <w:r w:rsidRPr="001845C0">
        <w:rPr>
          <w:rFonts w:ascii="Times New Roman" w:eastAsia="Times New Roman" w:hAnsi="Times New Roman" w:cs="Times New Roman"/>
          <w:bCs/>
          <w:kern w:val="36"/>
          <w:sz w:val="24"/>
          <w:szCs w:val="24"/>
          <w:lang w:eastAsia="fr-FR"/>
        </w:rPr>
        <w:t xml:space="preserve"> conscience des enjeux climatiques, les méthodes de management et les progrès réalisés. Les réponses exploitées pour attribuer les scores ne sont pas vérifiées (données déclaratives) et les informations externes issues d’autres sources (sites Web, rapports RSE) ne sont pas prises en compte. La quatrième variable dépendante </w:t>
      </w:r>
      <w:r w:rsidRPr="001845C0">
        <w:rPr>
          <w:rFonts w:ascii="Times New Roman" w:eastAsia="Times New Roman" w:hAnsi="Times New Roman" w:cs="Times New Roman"/>
          <w:bCs/>
          <w:i/>
          <w:kern w:val="36"/>
          <w:sz w:val="24"/>
          <w:szCs w:val="24"/>
          <w:lang w:eastAsia="fr-FR"/>
        </w:rPr>
        <w:t>CDP</w:t>
      </w:r>
      <w:r w:rsidRPr="001845C0">
        <w:rPr>
          <w:rFonts w:ascii="Times New Roman" w:eastAsia="Times New Roman" w:hAnsi="Times New Roman" w:cs="Times New Roman"/>
          <w:bCs/>
          <w:kern w:val="36"/>
          <w:sz w:val="24"/>
          <w:szCs w:val="24"/>
          <w:lang w:eastAsia="fr-FR"/>
        </w:rPr>
        <w:t xml:space="preserve"> est un score de 0 à 8, 0 correspondant à une banque ayant refusé de participer et 8 à une entité répondant de manière exhaustive aux items du questionnaire</w:t>
      </w:r>
      <w:r w:rsidRPr="001845C0">
        <w:rPr>
          <w:rStyle w:val="Appelnotedebasdep"/>
          <w:rFonts w:ascii="Times New Roman" w:eastAsia="Times New Roman" w:hAnsi="Times New Roman" w:cs="Times New Roman"/>
          <w:bCs/>
          <w:kern w:val="36"/>
          <w:sz w:val="24"/>
          <w:szCs w:val="24"/>
          <w:lang w:eastAsia="fr-FR"/>
        </w:rPr>
        <w:footnoteReference w:id="9"/>
      </w:r>
      <w:r w:rsidRPr="001845C0">
        <w:rPr>
          <w:rFonts w:ascii="Times New Roman" w:eastAsia="Times New Roman" w:hAnsi="Times New Roman" w:cs="Times New Roman"/>
          <w:bCs/>
          <w:kern w:val="36"/>
          <w:sz w:val="24"/>
          <w:szCs w:val="24"/>
          <w:lang w:eastAsia="fr-FR"/>
        </w:rPr>
        <w:t>.</w:t>
      </w: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sidRPr="00255584">
        <w:rPr>
          <w:rFonts w:ascii="Times New Roman" w:eastAsia="Times New Roman" w:hAnsi="Times New Roman" w:cs="Times New Roman"/>
          <w:b/>
          <w:bCs/>
          <w:kern w:val="36"/>
          <w:sz w:val="24"/>
          <w:szCs w:val="24"/>
          <w:lang w:eastAsia="fr-FR"/>
        </w:rPr>
        <w:t xml:space="preserve">3.3 </w:t>
      </w:r>
      <w:r w:rsidR="00EB3251" w:rsidRPr="00255584">
        <w:rPr>
          <w:rFonts w:ascii="Times New Roman" w:eastAsia="Times New Roman" w:hAnsi="Times New Roman" w:cs="Times New Roman"/>
          <w:b/>
          <w:bCs/>
          <w:kern w:val="36"/>
          <w:sz w:val="24"/>
          <w:szCs w:val="24"/>
          <w:lang w:eastAsia="fr-FR"/>
        </w:rPr>
        <w:t>Variables indépendantes</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Pour évaluer la performance environnementale, le rapport RAN donne accès à des montants annuels correspondant aux emprunts et souscriptions d’émissions d’actions et d’obligations accordés p</w:t>
      </w:r>
      <w:r w:rsidR="003D6B2C">
        <w:rPr>
          <w:rFonts w:ascii="Times New Roman" w:eastAsia="Times New Roman" w:hAnsi="Times New Roman" w:cs="Times New Roman"/>
          <w:bCs/>
          <w:kern w:val="36"/>
          <w:sz w:val="24"/>
          <w:szCs w:val="24"/>
          <w:lang w:eastAsia="fr-FR"/>
        </w:rPr>
        <w:t>ar les banques de l’échantillon : cette mesure directe des émissions de scope 3</w:t>
      </w:r>
      <w:r w:rsidR="00737147">
        <w:rPr>
          <w:rFonts w:ascii="Times New Roman" w:eastAsia="Times New Roman" w:hAnsi="Times New Roman" w:cs="Times New Roman"/>
          <w:bCs/>
          <w:kern w:val="36"/>
          <w:sz w:val="24"/>
          <w:szCs w:val="24"/>
          <w:lang w:eastAsia="fr-FR"/>
        </w:rPr>
        <w:t xml:space="preserve"> évite les écueils liés à la fiabilité des scores et indices classiques de performance extra-financière.</w:t>
      </w:r>
      <w:r w:rsidRPr="001845C0">
        <w:rPr>
          <w:rFonts w:ascii="Times New Roman" w:eastAsia="Times New Roman" w:hAnsi="Times New Roman" w:cs="Times New Roman"/>
          <w:bCs/>
          <w:kern w:val="36"/>
          <w:sz w:val="24"/>
          <w:szCs w:val="24"/>
          <w:lang w:eastAsia="fr-FR"/>
        </w:rPr>
        <w:t xml:space="preserve"> Deux séries de données annuelles sont disponibles :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1/ les financements octroyés à 2 100 entreprises actives dans les filières des énergies fossiles (exploration, extraction, transport, combustion, stockage, selon la classification sectorielle de Bloomberg)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2/ les financements accordés aux 100 entreprises ayant le plus développé leurs activités liées aux énergies fossiles sur la période (Top 60 des firmes selon les réserves de pétrole et de gaz à exploiter d’ici 2050, 15 firmes qui pilotent les principaux pipelines et termin</w:t>
      </w:r>
      <w:r>
        <w:rPr>
          <w:rFonts w:ascii="Times New Roman" w:eastAsia="Times New Roman" w:hAnsi="Times New Roman" w:cs="Times New Roman"/>
          <w:bCs/>
          <w:kern w:val="36"/>
          <w:sz w:val="24"/>
          <w:szCs w:val="24"/>
          <w:lang w:eastAsia="fr-FR"/>
        </w:rPr>
        <w:t>aux gaziers</w:t>
      </w:r>
      <w:r w:rsidRPr="001845C0">
        <w:rPr>
          <w:rFonts w:ascii="Times New Roman" w:eastAsia="Times New Roman" w:hAnsi="Times New Roman" w:cs="Times New Roman"/>
          <w:bCs/>
          <w:kern w:val="36"/>
          <w:sz w:val="24"/>
          <w:szCs w:val="24"/>
          <w:lang w:eastAsia="fr-FR"/>
        </w:rPr>
        <w:t xml:space="preserve">, et 25 </w:t>
      </w:r>
      <w:r w:rsidRPr="001845C0">
        <w:rPr>
          <w:rFonts w:ascii="Times New Roman" w:eastAsia="Times New Roman" w:hAnsi="Times New Roman" w:cs="Times New Roman"/>
          <w:bCs/>
          <w:kern w:val="36"/>
          <w:sz w:val="24"/>
          <w:szCs w:val="24"/>
          <w:lang w:eastAsia="fr-FR"/>
        </w:rPr>
        <w:lastRenderedPageBreak/>
        <w:t>entreprises ayant des projets de développement de la filière</w:t>
      </w:r>
      <w:r>
        <w:rPr>
          <w:rFonts w:ascii="Times New Roman" w:eastAsia="Times New Roman" w:hAnsi="Times New Roman" w:cs="Times New Roman"/>
          <w:bCs/>
          <w:kern w:val="36"/>
          <w:sz w:val="24"/>
          <w:szCs w:val="24"/>
          <w:lang w:eastAsia="fr-FR"/>
        </w:rPr>
        <w:t xml:space="preserve"> charbon, au moins une</w:t>
      </w:r>
      <w:r w:rsidRPr="001845C0">
        <w:rPr>
          <w:rFonts w:ascii="Times New Roman" w:eastAsia="Times New Roman" w:hAnsi="Times New Roman" w:cs="Times New Roman"/>
          <w:bCs/>
          <w:kern w:val="36"/>
          <w:sz w:val="24"/>
          <w:szCs w:val="24"/>
          <w:lang w:eastAsia="fr-FR"/>
        </w:rPr>
        <w:t xml:space="preserve"> par pays</w:t>
      </w:r>
      <w:r>
        <w:rPr>
          <w:rFonts w:ascii="Times New Roman" w:eastAsia="Times New Roman" w:hAnsi="Times New Roman" w:cs="Times New Roman"/>
          <w:bCs/>
          <w:kern w:val="36"/>
          <w:sz w:val="24"/>
          <w:szCs w:val="24"/>
          <w:lang w:eastAsia="fr-FR"/>
        </w:rPr>
        <w:t> ; une liste partielle des fir</w:t>
      </w:r>
      <w:r w:rsidR="00A16228">
        <w:rPr>
          <w:rFonts w:ascii="Times New Roman" w:eastAsia="Times New Roman" w:hAnsi="Times New Roman" w:cs="Times New Roman"/>
          <w:bCs/>
          <w:kern w:val="36"/>
          <w:sz w:val="24"/>
          <w:szCs w:val="24"/>
          <w:lang w:eastAsia="fr-FR"/>
        </w:rPr>
        <w:t>mes concernées est disponible p</w:t>
      </w:r>
      <w:r w:rsidR="001238DD">
        <w:rPr>
          <w:rFonts w:ascii="Times New Roman" w:eastAsia="Times New Roman" w:hAnsi="Times New Roman" w:cs="Times New Roman"/>
          <w:bCs/>
          <w:kern w:val="36"/>
          <w:sz w:val="24"/>
          <w:szCs w:val="24"/>
          <w:lang w:eastAsia="fr-FR"/>
        </w:rPr>
        <w:t>p</w:t>
      </w:r>
      <w:r>
        <w:rPr>
          <w:rFonts w:ascii="Times New Roman" w:eastAsia="Times New Roman" w:hAnsi="Times New Roman" w:cs="Times New Roman"/>
          <w:bCs/>
          <w:kern w:val="36"/>
          <w:sz w:val="24"/>
          <w:szCs w:val="24"/>
          <w:lang w:eastAsia="fr-FR"/>
        </w:rPr>
        <w:t>. 84-87 du rapport</w:t>
      </w:r>
      <w:r w:rsidRPr="001845C0">
        <w:rPr>
          <w:rFonts w:ascii="Times New Roman" w:eastAsia="Times New Roman" w:hAnsi="Times New Roman" w:cs="Times New Roman"/>
          <w:bCs/>
          <w:kern w:val="36"/>
          <w:sz w:val="24"/>
          <w:szCs w:val="24"/>
          <w:lang w:eastAsia="fr-FR"/>
        </w:rPr>
        <w:t>).</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Les logarithmes de ces sommes (exprimées en millions de dollars) donnent les deux premières variables explicatives de cette étude : </w:t>
      </w:r>
      <w:r w:rsidRPr="001845C0">
        <w:rPr>
          <w:rFonts w:ascii="Times New Roman" w:eastAsia="Times New Roman" w:hAnsi="Times New Roman" w:cs="Times New Roman"/>
          <w:bCs/>
          <w:i/>
          <w:kern w:val="36"/>
          <w:sz w:val="24"/>
          <w:szCs w:val="24"/>
          <w:lang w:eastAsia="fr-FR"/>
        </w:rPr>
        <w:t>FEF</w:t>
      </w:r>
      <w:r w:rsidRPr="001845C0">
        <w:rPr>
          <w:rFonts w:ascii="Times New Roman" w:eastAsia="Times New Roman" w:hAnsi="Times New Roman" w:cs="Times New Roman"/>
          <w:bCs/>
          <w:kern w:val="36"/>
          <w:sz w:val="24"/>
          <w:szCs w:val="24"/>
          <w:lang w:eastAsia="fr-FR"/>
        </w:rPr>
        <w:t xml:space="preserve"> pour Financement des Energies Fossiles et </w:t>
      </w:r>
      <w:r w:rsidRPr="001845C0">
        <w:rPr>
          <w:rFonts w:ascii="Times New Roman" w:eastAsia="Times New Roman" w:hAnsi="Times New Roman" w:cs="Times New Roman"/>
          <w:bCs/>
          <w:i/>
          <w:kern w:val="36"/>
          <w:sz w:val="24"/>
          <w:szCs w:val="24"/>
          <w:lang w:eastAsia="fr-FR"/>
        </w:rPr>
        <w:t>CEF</w:t>
      </w:r>
      <w:r w:rsidRPr="001845C0">
        <w:rPr>
          <w:rFonts w:ascii="Times New Roman" w:eastAsia="Times New Roman" w:hAnsi="Times New Roman" w:cs="Times New Roman"/>
          <w:bCs/>
          <w:kern w:val="36"/>
          <w:sz w:val="24"/>
          <w:szCs w:val="24"/>
          <w:lang w:eastAsia="fr-FR"/>
        </w:rPr>
        <w:t xml:space="preserve"> pour Croissance des Energies Fossiles.</w:t>
      </w:r>
      <w:r>
        <w:rPr>
          <w:rFonts w:ascii="Times New Roman" w:eastAsia="Times New Roman" w:hAnsi="Times New Roman" w:cs="Times New Roman"/>
          <w:bCs/>
          <w:kern w:val="36"/>
          <w:sz w:val="24"/>
          <w:szCs w:val="24"/>
          <w:lang w:eastAsia="fr-FR"/>
        </w:rPr>
        <w:t xml:space="preserve">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Ces données devraient être représentatives des émissions totales de ces filières : co</w:t>
      </w:r>
      <w:r w:rsidR="00A16228">
        <w:rPr>
          <w:rFonts w:ascii="Times New Roman" w:eastAsia="Times New Roman" w:hAnsi="Times New Roman" w:cs="Times New Roman"/>
          <w:bCs/>
          <w:kern w:val="36"/>
          <w:sz w:val="24"/>
          <w:szCs w:val="24"/>
          <w:lang w:eastAsia="fr-FR"/>
        </w:rPr>
        <w:t xml:space="preserve">mme le relèvent </w:t>
      </w:r>
      <w:proofErr w:type="spellStart"/>
      <w:r w:rsidR="00A16228">
        <w:rPr>
          <w:rFonts w:ascii="Times New Roman" w:eastAsia="Times New Roman" w:hAnsi="Times New Roman" w:cs="Times New Roman"/>
          <w:bCs/>
          <w:kern w:val="36"/>
          <w:sz w:val="24"/>
          <w:szCs w:val="24"/>
          <w:lang w:eastAsia="fr-FR"/>
        </w:rPr>
        <w:t>Kalesnik</w:t>
      </w:r>
      <w:proofErr w:type="spellEnd"/>
      <w:r w:rsidR="00A16228">
        <w:rPr>
          <w:rFonts w:ascii="Times New Roman" w:eastAsia="Times New Roman" w:hAnsi="Times New Roman" w:cs="Times New Roman"/>
          <w:bCs/>
          <w:kern w:val="36"/>
          <w:sz w:val="24"/>
          <w:szCs w:val="24"/>
          <w:lang w:eastAsia="fr-FR"/>
        </w:rPr>
        <w:t xml:space="preserve"> et al.</w:t>
      </w:r>
      <w:r w:rsidRPr="001845C0">
        <w:rPr>
          <w:rFonts w:ascii="Times New Roman" w:eastAsia="Times New Roman" w:hAnsi="Times New Roman" w:cs="Times New Roman"/>
          <w:bCs/>
          <w:kern w:val="36"/>
          <w:sz w:val="24"/>
          <w:szCs w:val="24"/>
          <w:lang w:eastAsia="fr-FR"/>
        </w:rPr>
        <w:t xml:space="preserve"> </w:t>
      </w:r>
      <w:r w:rsidR="00A16228">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2020</w:t>
      </w:r>
      <w:r w:rsidR="00A16228">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les données CDP montraient en 2017 que 71% des émissions globales depuis 1988 sont provoquées par 100 producteurs d’énergie fossile et que 5% des émetteurs étaient responsables de 80% des émissions. </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La littéra</w:t>
      </w:r>
      <w:r w:rsidR="00737147">
        <w:rPr>
          <w:rFonts w:ascii="Times New Roman" w:eastAsia="Times New Roman" w:hAnsi="Times New Roman" w:cs="Times New Roman"/>
          <w:bCs/>
          <w:kern w:val="36"/>
          <w:sz w:val="24"/>
          <w:szCs w:val="24"/>
          <w:lang w:eastAsia="fr-FR"/>
        </w:rPr>
        <w:t>ture sur la DVI extra-financière</w:t>
      </w:r>
      <w:r w:rsidRPr="001845C0">
        <w:rPr>
          <w:rFonts w:ascii="Times New Roman" w:eastAsia="Times New Roman" w:hAnsi="Times New Roman" w:cs="Times New Roman"/>
          <w:bCs/>
          <w:kern w:val="36"/>
          <w:sz w:val="24"/>
          <w:szCs w:val="24"/>
          <w:lang w:eastAsia="fr-FR"/>
        </w:rPr>
        <w:t xml:space="preserve"> souligne l’influence de caractéristiques internes et externes sur le volume et la qualité de l’information. Pour tenir compte </w:t>
      </w:r>
      <w:r>
        <w:rPr>
          <w:rFonts w:ascii="Times New Roman" w:eastAsia="Times New Roman" w:hAnsi="Times New Roman" w:cs="Times New Roman"/>
          <w:bCs/>
          <w:kern w:val="36"/>
          <w:sz w:val="24"/>
          <w:szCs w:val="24"/>
          <w:lang w:eastAsia="fr-FR"/>
        </w:rPr>
        <w:t>du contexte institutionnel national</w:t>
      </w:r>
      <w:r w:rsidRPr="001845C0">
        <w:rPr>
          <w:rFonts w:ascii="Times New Roman" w:eastAsia="Times New Roman" w:hAnsi="Times New Roman" w:cs="Times New Roman"/>
          <w:bCs/>
          <w:kern w:val="36"/>
          <w:sz w:val="24"/>
          <w:szCs w:val="24"/>
          <w:lang w:eastAsia="fr-FR"/>
        </w:rPr>
        <w:t xml:space="preserve">, la performance environnementale du pays d’origine de la banque, variable </w:t>
      </w:r>
      <w:r w:rsidRPr="001845C0">
        <w:rPr>
          <w:rFonts w:ascii="Times New Roman" w:eastAsia="Times New Roman" w:hAnsi="Times New Roman" w:cs="Times New Roman"/>
          <w:bCs/>
          <w:i/>
          <w:kern w:val="36"/>
          <w:sz w:val="24"/>
          <w:szCs w:val="24"/>
          <w:lang w:eastAsia="fr-FR"/>
        </w:rPr>
        <w:t>EPI</w:t>
      </w:r>
      <w:r w:rsidRPr="001845C0">
        <w:rPr>
          <w:rFonts w:ascii="Times New Roman" w:eastAsia="Times New Roman" w:hAnsi="Times New Roman" w:cs="Times New Roman"/>
          <w:bCs/>
          <w:kern w:val="36"/>
          <w:sz w:val="24"/>
          <w:szCs w:val="24"/>
          <w:lang w:eastAsia="fr-FR"/>
        </w:rPr>
        <w:t>, est retenue (iss</w:t>
      </w:r>
      <w:r>
        <w:rPr>
          <w:rFonts w:ascii="Times New Roman" w:eastAsia="Times New Roman" w:hAnsi="Times New Roman" w:cs="Times New Roman"/>
          <w:bCs/>
          <w:kern w:val="36"/>
          <w:sz w:val="24"/>
          <w:szCs w:val="24"/>
          <w:lang w:eastAsia="fr-FR"/>
        </w:rPr>
        <w:t xml:space="preserve">ue des scores </w:t>
      </w:r>
      <w:proofErr w:type="spellStart"/>
      <w:r w:rsidRPr="00ED2CA6">
        <w:rPr>
          <w:rFonts w:ascii="Times New Roman" w:eastAsia="Times New Roman" w:hAnsi="Times New Roman" w:cs="Times New Roman"/>
          <w:bCs/>
          <w:i/>
          <w:kern w:val="36"/>
          <w:sz w:val="24"/>
          <w:szCs w:val="24"/>
          <w:lang w:eastAsia="fr-FR"/>
        </w:rPr>
        <w:t>Environmental</w:t>
      </w:r>
      <w:proofErr w:type="spellEnd"/>
      <w:r w:rsidRPr="00ED2CA6">
        <w:rPr>
          <w:rFonts w:ascii="Times New Roman" w:eastAsia="Times New Roman" w:hAnsi="Times New Roman" w:cs="Times New Roman"/>
          <w:bCs/>
          <w:i/>
          <w:kern w:val="36"/>
          <w:sz w:val="24"/>
          <w:szCs w:val="24"/>
          <w:lang w:eastAsia="fr-FR"/>
        </w:rPr>
        <w:t xml:space="preserve"> Performance Index</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2016, 2018 et 2020</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 xml:space="preserve">Une variable dichotomique </w:t>
      </w:r>
      <w:r w:rsidRPr="007F3214">
        <w:rPr>
          <w:rFonts w:ascii="Times New Roman" w:eastAsia="Times New Roman" w:hAnsi="Times New Roman" w:cs="Times New Roman"/>
          <w:bCs/>
          <w:i/>
          <w:kern w:val="36"/>
          <w:sz w:val="24"/>
          <w:szCs w:val="24"/>
          <w:lang w:eastAsia="fr-FR"/>
        </w:rPr>
        <w:t>EUR</w:t>
      </w:r>
      <w:r>
        <w:rPr>
          <w:rFonts w:ascii="Times New Roman" w:eastAsia="Times New Roman" w:hAnsi="Times New Roman" w:cs="Times New Roman"/>
          <w:bCs/>
          <w:kern w:val="36"/>
          <w:sz w:val="24"/>
          <w:szCs w:val="24"/>
          <w:lang w:eastAsia="fr-FR"/>
        </w:rPr>
        <w:t xml:space="preserve"> reflétant l’appartenance à l’Union Européenne (UE) est intégrée aux modèles d’analyse : l’UE défend en effet une politique environnementale ambitieuse aux standards exigeants. Les initiatives TFCD (</w:t>
      </w:r>
      <w:proofErr w:type="spellStart"/>
      <w:r w:rsidRPr="001238DD">
        <w:rPr>
          <w:rFonts w:ascii="Times New Roman" w:eastAsia="Times New Roman" w:hAnsi="Times New Roman" w:cs="Times New Roman"/>
          <w:bCs/>
          <w:i/>
          <w:kern w:val="36"/>
          <w:sz w:val="24"/>
          <w:szCs w:val="24"/>
          <w:lang w:eastAsia="fr-FR"/>
        </w:rPr>
        <w:t>Task</w:t>
      </w:r>
      <w:proofErr w:type="spellEnd"/>
      <w:r w:rsidRPr="001238DD">
        <w:rPr>
          <w:rFonts w:ascii="Times New Roman" w:eastAsia="Times New Roman" w:hAnsi="Times New Roman" w:cs="Times New Roman"/>
          <w:bCs/>
          <w:i/>
          <w:kern w:val="36"/>
          <w:sz w:val="24"/>
          <w:szCs w:val="24"/>
          <w:lang w:eastAsia="fr-FR"/>
        </w:rPr>
        <w:t xml:space="preserve"> Force on </w:t>
      </w:r>
      <w:proofErr w:type="spellStart"/>
      <w:r w:rsidRPr="001238DD">
        <w:rPr>
          <w:rFonts w:ascii="Times New Roman" w:eastAsia="Times New Roman" w:hAnsi="Times New Roman" w:cs="Times New Roman"/>
          <w:bCs/>
          <w:i/>
          <w:kern w:val="36"/>
          <w:sz w:val="24"/>
          <w:szCs w:val="24"/>
          <w:lang w:eastAsia="fr-FR"/>
        </w:rPr>
        <w:t>Climate-related</w:t>
      </w:r>
      <w:proofErr w:type="spellEnd"/>
      <w:r w:rsidRPr="001238DD">
        <w:rPr>
          <w:rFonts w:ascii="Times New Roman" w:eastAsia="Times New Roman" w:hAnsi="Times New Roman" w:cs="Times New Roman"/>
          <w:bCs/>
          <w:i/>
          <w:kern w:val="36"/>
          <w:sz w:val="24"/>
          <w:szCs w:val="24"/>
          <w:lang w:eastAsia="fr-FR"/>
        </w:rPr>
        <w:t xml:space="preserve"> </w:t>
      </w:r>
      <w:proofErr w:type="spellStart"/>
      <w:r w:rsidRPr="001238DD">
        <w:rPr>
          <w:rFonts w:ascii="Times New Roman" w:eastAsia="Times New Roman" w:hAnsi="Times New Roman" w:cs="Times New Roman"/>
          <w:bCs/>
          <w:i/>
          <w:kern w:val="36"/>
          <w:sz w:val="24"/>
          <w:szCs w:val="24"/>
          <w:lang w:eastAsia="fr-FR"/>
        </w:rPr>
        <w:t>financial</w:t>
      </w:r>
      <w:proofErr w:type="spellEnd"/>
      <w:r w:rsidRPr="001238DD">
        <w:rPr>
          <w:rFonts w:ascii="Times New Roman" w:eastAsia="Times New Roman" w:hAnsi="Times New Roman" w:cs="Times New Roman"/>
          <w:bCs/>
          <w:i/>
          <w:kern w:val="36"/>
          <w:sz w:val="24"/>
          <w:szCs w:val="24"/>
          <w:lang w:eastAsia="fr-FR"/>
        </w:rPr>
        <w:t xml:space="preserve"> </w:t>
      </w:r>
      <w:proofErr w:type="spellStart"/>
      <w:r w:rsidRPr="001238DD">
        <w:rPr>
          <w:rFonts w:ascii="Times New Roman" w:eastAsia="Times New Roman" w:hAnsi="Times New Roman" w:cs="Times New Roman"/>
          <w:bCs/>
          <w:i/>
          <w:kern w:val="36"/>
          <w:sz w:val="24"/>
          <w:szCs w:val="24"/>
          <w:lang w:eastAsia="fr-FR"/>
        </w:rPr>
        <w:t>Disclosure</w:t>
      </w:r>
      <w:proofErr w:type="spellEnd"/>
      <w:r>
        <w:rPr>
          <w:rFonts w:ascii="Times New Roman" w:eastAsia="Times New Roman" w:hAnsi="Times New Roman" w:cs="Times New Roman"/>
          <w:bCs/>
          <w:kern w:val="36"/>
          <w:sz w:val="24"/>
          <w:szCs w:val="24"/>
          <w:lang w:eastAsia="fr-FR"/>
        </w:rPr>
        <w:t>), l’</w:t>
      </w:r>
      <w:proofErr w:type="spellStart"/>
      <w:r w:rsidRPr="001238DD">
        <w:rPr>
          <w:rFonts w:ascii="Times New Roman" w:eastAsia="Times New Roman" w:hAnsi="Times New Roman" w:cs="Times New Roman"/>
          <w:bCs/>
          <w:i/>
          <w:kern w:val="36"/>
          <w:sz w:val="24"/>
          <w:szCs w:val="24"/>
          <w:lang w:eastAsia="fr-FR"/>
        </w:rPr>
        <w:t>European</w:t>
      </w:r>
      <w:proofErr w:type="spellEnd"/>
      <w:r w:rsidRPr="001238DD">
        <w:rPr>
          <w:rFonts w:ascii="Times New Roman" w:eastAsia="Times New Roman" w:hAnsi="Times New Roman" w:cs="Times New Roman"/>
          <w:bCs/>
          <w:i/>
          <w:kern w:val="36"/>
          <w:sz w:val="24"/>
          <w:szCs w:val="24"/>
          <w:lang w:eastAsia="fr-FR"/>
        </w:rPr>
        <w:t xml:space="preserve"> Green Deal </w:t>
      </w:r>
      <w:r>
        <w:rPr>
          <w:rFonts w:ascii="Times New Roman" w:eastAsia="Times New Roman" w:hAnsi="Times New Roman" w:cs="Times New Roman"/>
          <w:bCs/>
          <w:kern w:val="36"/>
          <w:sz w:val="24"/>
          <w:szCs w:val="24"/>
          <w:lang w:eastAsia="fr-FR"/>
        </w:rPr>
        <w:t>pour 2030</w:t>
      </w:r>
      <w:r w:rsidR="00737147">
        <w:rPr>
          <w:rFonts w:ascii="Times New Roman" w:eastAsia="Times New Roman" w:hAnsi="Times New Roman" w:cs="Times New Roman"/>
          <w:bCs/>
          <w:kern w:val="36"/>
          <w:sz w:val="24"/>
          <w:szCs w:val="24"/>
          <w:lang w:eastAsia="fr-FR"/>
        </w:rPr>
        <w:t>, le système d’échange de quotas d’émissions carbone (</w:t>
      </w:r>
      <w:proofErr w:type="spellStart"/>
      <w:r w:rsidR="00737147" w:rsidRPr="001238DD">
        <w:rPr>
          <w:rFonts w:ascii="Times New Roman" w:eastAsia="Times New Roman" w:hAnsi="Times New Roman" w:cs="Times New Roman"/>
          <w:bCs/>
          <w:i/>
          <w:kern w:val="36"/>
          <w:sz w:val="24"/>
          <w:szCs w:val="24"/>
          <w:lang w:eastAsia="fr-FR"/>
        </w:rPr>
        <w:t>European</w:t>
      </w:r>
      <w:proofErr w:type="spellEnd"/>
      <w:r w:rsidR="00737147" w:rsidRPr="001238DD">
        <w:rPr>
          <w:rFonts w:ascii="Times New Roman" w:eastAsia="Times New Roman" w:hAnsi="Times New Roman" w:cs="Times New Roman"/>
          <w:bCs/>
          <w:i/>
          <w:kern w:val="36"/>
          <w:sz w:val="24"/>
          <w:szCs w:val="24"/>
          <w:lang w:eastAsia="fr-FR"/>
        </w:rPr>
        <w:t xml:space="preserve"> Trading </w:t>
      </w:r>
      <w:proofErr w:type="spellStart"/>
      <w:r w:rsidR="00737147" w:rsidRPr="001238DD">
        <w:rPr>
          <w:rFonts w:ascii="Times New Roman" w:eastAsia="Times New Roman" w:hAnsi="Times New Roman" w:cs="Times New Roman"/>
          <w:bCs/>
          <w:i/>
          <w:kern w:val="36"/>
          <w:sz w:val="24"/>
          <w:szCs w:val="24"/>
          <w:lang w:eastAsia="fr-FR"/>
        </w:rPr>
        <w:t>Scheme</w:t>
      </w:r>
      <w:proofErr w:type="spellEnd"/>
      <w:r w:rsidR="00737147">
        <w:rPr>
          <w:rFonts w:ascii="Times New Roman" w:eastAsia="Times New Roman" w:hAnsi="Times New Roman" w:cs="Times New Roman"/>
          <w:bCs/>
          <w:kern w:val="36"/>
          <w:sz w:val="24"/>
          <w:szCs w:val="24"/>
          <w:lang w:eastAsia="fr-FR"/>
        </w:rPr>
        <w:t xml:space="preserve"> ETS)</w:t>
      </w:r>
      <w:r>
        <w:rPr>
          <w:rFonts w:ascii="Times New Roman" w:eastAsia="Times New Roman" w:hAnsi="Times New Roman" w:cs="Times New Roman"/>
          <w:bCs/>
          <w:kern w:val="36"/>
          <w:sz w:val="24"/>
          <w:szCs w:val="24"/>
          <w:lang w:eastAsia="fr-FR"/>
        </w:rPr>
        <w:t xml:space="preserve"> et la récente taxonomie sectorielle symbolisent cet engagement fort</w:t>
      </w:r>
      <w:r>
        <w:rPr>
          <w:rStyle w:val="Appelnotedebasdep"/>
          <w:rFonts w:ascii="Times New Roman" w:eastAsia="Times New Roman" w:hAnsi="Times New Roman" w:cs="Times New Roman"/>
          <w:bCs/>
          <w:kern w:val="36"/>
          <w:sz w:val="24"/>
          <w:szCs w:val="24"/>
          <w:lang w:eastAsia="fr-FR"/>
        </w:rPr>
        <w:footnoteReference w:id="10"/>
      </w:r>
      <w:r>
        <w:rPr>
          <w:rFonts w:ascii="Times New Roman" w:eastAsia="Times New Roman" w:hAnsi="Times New Roman" w:cs="Times New Roman"/>
          <w:bCs/>
          <w:kern w:val="36"/>
          <w:sz w:val="24"/>
          <w:szCs w:val="24"/>
          <w:lang w:eastAsia="fr-FR"/>
        </w:rPr>
        <w:t>.</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 Concernant les caractéristiques internes des banques, la taille mesurée par le logarithme du total des actifs, et la rentabilité mesurée par le </w:t>
      </w:r>
      <w:r w:rsidRPr="00ED2CA6">
        <w:rPr>
          <w:rFonts w:ascii="Times New Roman" w:eastAsia="Times New Roman" w:hAnsi="Times New Roman" w:cs="Times New Roman"/>
          <w:bCs/>
          <w:i/>
          <w:kern w:val="36"/>
          <w:sz w:val="24"/>
          <w:szCs w:val="24"/>
          <w:lang w:eastAsia="fr-FR"/>
        </w:rPr>
        <w:t xml:space="preserve">Return On </w:t>
      </w:r>
      <w:proofErr w:type="spellStart"/>
      <w:r w:rsidRPr="00ED2CA6">
        <w:rPr>
          <w:rFonts w:ascii="Times New Roman" w:eastAsia="Times New Roman" w:hAnsi="Times New Roman" w:cs="Times New Roman"/>
          <w:bCs/>
          <w:i/>
          <w:kern w:val="36"/>
          <w:sz w:val="24"/>
          <w:szCs w:val="24"/>
          <w:lang w:eastAsia="fr-FR"/>
        </w:rPr>
        <w:t>Assets</w:t>
      </w:r>
      <w:proofErr w:type="spellEnd"/>
      <w:r w:rsidRPr="001845C0">
        <w:rPr>
          <w:rFonts w:ascii="Times New Roman" w:eastAsia="Times New Roman" w:hAnsi="Times New Roman" w:cs="Times New Roman"/>
          <w:bCs/>
          <w:kern w:val="36"/>
          <w:sz w:val="24"/>
          <w:szCs w:val="24"/>
          <w:lang w:eastAsia="fr-FR"/>
        </w:rPr>
        <w:t xml:space="preserve"> (</w:t>
      </w:r>
      <w:r w:rsidRPr="006A7130">
        <w:rPr>
          <w:rFonts w:ascii="Times New Roman" w:eastAsia="Times New Roman" w:hAnsi="Times New Roman" w:cs="Times New Roman"/>
          <w:bCs/>
          <w:i/>
          <w:kern w:val="36"/>
          <w:sz w:val="24"/>
          <w:szCs w:val="24"/>
          <w:lang w:eastAsia="fr-FR"/>
        </w:rPr>
        <w:t>ROA</w:t>
      </w:r>
      <w:r w:rsidRPr="001845C0">
        <w:rPr>
          <w:rFonts w:ascii="Times New Roman" w:eastAsia="Times New Roman" w:hAnsi="Times New Roman" w:cs="Times New Roman"/>
          <w:bCs/>
          <w:kern w:val="36"/>
          <w:sz w:val="24"/>
          <w:szCs w:val="24"/>
          <w:lang w:eastAsia="fr-FR"/>
        </w:rPr>
        <w:t xml:space="preserve">) ont été collectées soit </w:t>
      </w:r>
      <w:r w:rsidR="001238DD">
        <w:rPr>
          <w:rFonts w:ascii="Times New Roman" w:eastAsia="Times New Roman" w:hAnsi="Times New Roman" w:cs="Times New Roman"/>
          <w:bCs/>
          <w:kern w:val="36"/>
          <w:sz w:val="24"/>
          <w:szCs w:val="24"/>
          <w:lang w:eastAsia="fr-FR"/>
        </w:rPr>
        <w:lastRenderedPageBreak/>
        <w:t xml:space="preserve">sur le site </w:t>
      </w:r>
      <w:proofErr w:type="spellStart"/>
      <w:r w:rsidR="001238DD" w:rsidRPr="001238DD">
        <w:rPr>
          <w:rFonts w:ascii="Times New Roman" w:eastAsia="Times New Roman" w:hAnsi="Times New Roman" w:cs="Times New Roman"/>
          <w:bCs/>
          <w:i/>
          <w:kern w:val="36"/>
          <w:sz w:val="24"/>
          <w:szCs w:val="24"/>
          <w:lang w:eastAsia="fr-FR"/>
        </w:rPr>
        <w:t>Macrotrends</w:t>
      </w:r>
      <w:proofErr w:type="spellEnd"/>
      <w:r w:rsidRPr="001845C0">
        <w:rPr>
          <w:rFonts w:ascii="Times New Roman" w:eastAsia="Times New Roman" w:hAnsi="Times New Roman" w:cs="Times New Roman"/>
          <w:bCs/>
          <w:kern w:val="36"/>
          <w:sz w:val="24"/>
          <w:szCs w:val="24"/>
          <w:lang w:eastAsia="fr-FR"/>
        </w:rPr>
        <w:t xml:space="preserve"> soit dans les rapports annuels d’activité des banques (variables </w:t>
      </w:r>
      <w:r w:rsidRPr="001845C0">
        <w:rPr>
          <w:rFonts w:ascii="Times New Roman" w:eastAsia="Times New Roman" w:hAnsi="Times New Roman" w:cs="Times New Roman"/>
          <w:bCs/>
          <w:i/>
          <w:kern w:val="36"/>
          <w:sz w:val="24"/>
          <w:szCs w:val="24"/>
          <w:lang w:eastAsia="fr-FR"/>
        </w:rPr>
        <w:t>TAILLE</w:t>
      </w:r>
      <w:r w:rsidR="00A16228">
        <w:rPr>
          <w:rFonts w:ascii="Times New Roman" w:eastAsia="Times New Roman" w:hAnsi="Times New Roman" w:cs="Times New Roman"/>
          <w:bCs/>
          <w:kern w:val="36"/>
          <w:sz w:val="24"/>
          <w:szCs w:val="24"/>
          <w:lang w:eastAsia="fr-FR"/>
        </w:rPr>
        <w:t xml:space="preserve"> et</w:t>
      </w:r>
      <w:r w:rsidRPr="001845C0">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i/>
          <w:kern w:val="36"/>
          <w:sz w:val="24"/>
          <w:szCs w:val="24"/>
          <w:lang w:eastAsia="fr-FR"/>
        </w:rPr>
        <w:t>RENTA</w:t>
      </w:r>
      <w:r w:rsidRPr="001845C0">
        <w:rPr>
          <w:rFonts w:ascii="Times New Roman" w:eastAsia="Times New Roman" w:hAnsi="Times New Roman" w:cs="Times New Roman"/>
          <w:bCs/>
          <w:kern w:val="36"/>
          <w:sz w:val="24"/>
          <w:szCs w:val="24"/>
          <w:lang w:eastAsia="fr-FR"/>
        </w:rPr>
        <w:t>). Le nombre de cotations de chaque banque</w:t>
      </w:r>
      <w:r w:rsidR="00A16228">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i/>
          <w:kern w:val="36"/>
          <w:sz w:val="24"/>
          <w:szCs w:val="24"/>
          <w:lang w:eastAsia="fr-FR"/>
        </w:rPr>
        <w:t>COT</w:t>
      </w:r>
      <w:r w:rsidR="00A16228" w:rsidRPr="00A16228">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i/>
          <w:kern w:val="36"/>
          <w:sz w:val="24"/>
          <w:szCs w:val="24"/>
          <w:lang w:eastAsia="fr-FR"/>
        </w:rPr>
        <w:t xml:space="preserve"> </w:t>
      </w:r>
      <w:r w:rsidR="001238DD">
        <w:rPr>
          <w:rFonts w:ascii="Times New Roman" w:eastAsia="Times New Roman" w:hAnsi="Times New Roman" w:cs="Times New Roman"/>
          <w:bCs/>
          <w:kern w:val="36"/>
          <w:sz w:val="24"/>
          <w:szCs w:val="24"/>
          <w:lang w:eastAsia="fr-FR"/>
        </w:rPr>
        <w:t xml:space="preserve">provient du site </w:t>
      </w:r>
      <w:proofErr w:type="spellStart"/>
      <w:r w:rsidRPr="001238DD">
        <w:rPr>
          <w:rFonts w:ascii="Times New Roman" w:eastAsia="Times New Roman" w:hAnsi="Times New Roman" w:cs="Times New Roman"/>
          <w:bCs/>
          <w:i/>
          <w:kern w:val="36"/>
          <w:sz w:val="24"/>
          <w:szCs w:val="24"/>
          <w:lang w:eastAsia="fr-FR"/>
        </w:rPr>
        <w:t>BankTrack</w:t>
      </w:r>
      <w:proofErr w:type="spellEnd"/>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 tableau 4</w:t>
      </w:r>
      <w:r w:rsidRPr="001845C0">
        <w:rPr>
          <w:rFonts w:ascii="Times New Roman" w:eastAsia="Times New Roman" w:hAnsi="Times New Roman" w:cs="Times New Roman"/>
          <w:bCs/>
          <w:kern w:val="36"/>
          <w:sz w:val="24"/>
          <w:szCs w:val="24"/>
          <w:lang w:eastAsia="fr-FR"/>
        </w:rPr>
        <w:t xml:space="preserve"> récapitule toutes les modalités de calcul, les sources et commentaires sur les variables d’étude.</w:t>
      </w:r>
    </w:p>
    <w:p w:rsidR="0042669B" w:rsidRPr="00482C55" w:rsidRDefault="0042669B" w:rsidP="0042669B">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482C55">
        <w:rPr>
          <w:rFonts w:ascii="Times New Roman" w:eastAsia="Times New Roman" w:hAnsi="Times New Roman" w:cs="Times New Roman"/>
          <w:b/>
          <w:bCs/>
          <w:kern w:val="36"/>
          <w:sz w:val="24"/>
          <w:szCs w:val="24"/>
          <w:lang w:eastAsia="fr-FR"/>
        </w:rPr>
        <w:t>Tableau 4 : Modalités de calcul, sources et commentaires sur les variables d’étude.</w:t>
      </w:r>
    </w:p>
    <w:tbl>
      <w:tblPr>
        <w:tblStyle w:val="Grilledutableau6"/>
        <w:tblW w:w="8784" w:type="dxa"/>
        <w:tblLook w:val="04A0" w:firstRow="1" w:lastRow="0" w:firstColumn="1" w:lastColumn="0" w:noHBand="0" w:noVBand="1"/>
      </w:tblPr>
      <w:tblGrid>
        <w:gridCol w:w="892"/>
        <w:gridCol w:w="2222"/>
        <w:gridCol w:w="5670"/>
      </w:tblGrid>
      <w:tr w:rsidR="0042669B" w:rsidRPr="00040F24" w:rsidTr="0042669B">
        <w:tc>
          <w:tcPr>
            <w:tcW w:w="89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040F24">
              <w:rPr>
                <w:rFonts w:ascii="Times New Roman" w:eastAsia="Times New Roman" w:hAnsi="Times New Roman" w:cs="Times New Roman"/>
                <w:b/>
                <w:bCs/>
                <w:kern w:val="36"/>
                <w:sz w:val="18"/>
                <w:szCs w:val="18"/>
                <w:lang w:eastAsia="fr-FR"/>
              </w:rPr>
              <w:t>Variable</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040F24">
              <w:rPr>
                <w:rFonts w:ascii="Times New Roman" w:eastAsia="Times New Roman" w:hAnsi="Times New Roman" w:cs="Times New Roman"/>
                <w:b/>
                <w:bCs/>
                <w:kern w:val="36"/>
                <w:sz w:val="18"/>
                <w:szCs w:val="18"/>
                <w:lang w:eastAsia="fr-FR"/>
              </w:rPr>
              <w:t>Mesure</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
                <w:bCs/>
                <w:kern w:val="36"/>
                <w:sz w:val="18"/>
                <w:szCs w:val="18"/>
                <w:lang w:eastAsia="fr-FR"/>
              </w:rPr>
            </w:pPr>
            <w:r w:rsidRPr="00040F24">
              <w:rPr>
                <w:rFonts w:ascii="Times New Roman" w:eastAsia="Times New Roman" w:hAnsi="Times New Roman" w:cs="Times New Roman"/>
                <w:b/>
                <w:bCs/>
                <w:kern w:val="36"/>
                <w:sz w:val="18"/>
                <w:szCs w:val="18"/>
                <w:lang w:eastAsia="fr-FR"/>
              </w:rPr>
              <w:t>Observations / Sources</w:t>
            </w:r>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CDP</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Score </w:t>
            </w:r>
            <w:proofErr w:type="spellStart"/>
            <w:r w:rsidRPr="00040F24">
              <w:rPr>
                <w:rFonts w:ascii="Times New Roman" w:eastAsia="Times New Roman" w:hAnsi="Times New Roman" w:cs="Times New Roman"/>
                <w:bCs/>
                <w:kern w:val="36"/>
                <w:sz w:val="18"/>
                <w:szCs w:val="18"/>
                <w:lang w:eastAsia="fr-FR"/>
              </w:rPr>
              <w:t>Carbon</w:t>
            </w:r>
            <w:proofErr w:type="spellEnd"/>
            <w:r w:rsidRPr="00040F24">
              <w:rPr>
                <w:rFonts w:ascii="Times New Roman" w:eastAsia="Times New Roman" w:hAnsi="Times New Roman" w:cs="Times New Roman"/>
                <w:bCs/>
                <w:kern w:val="36"/>
                <w:sz w:val="18"/>
                <w:szCs w:val="18"/>
                <w:lang w:eastAsia="fr-FR"/>
              </w:rPr>
              <w:t xml:space="preserve"> </w:t>
            </w:r>
            <w:proofErr w:type="spellStart"/>
            <w:r w:rsidRPr="00040F24">
              <w:rPr>
                <w:rFonts w:ascii="Times New Roman" w:eastAsia="Times New Roman" w:hAnsi="Times New Roman" w:cs="Times New Roman"/>
                <w:bCs/>
                <w:kern w:val="36"/>
                <w:sz w:val="18"/>
                <w:szCs w:val="18"/>
                <w:lang w:eastAsia="fr-FR"/>
              </w:rPr>
              <w:t>Disclosure</w:t>
            </w:r>
            <w:proofErr w:type="spellEnd"/>
            <w:r w:rsidRPr="00040F24">
              <w:rPr>
                <w:rFonts w:ascii="Times New Roman" w:eastAsia="Times New Roman" w:hAnsi="Times New Roman" w:cs="Times New Roman"/>
                <w:bCs/>
                <w:kern w:val="36"/>
                <w:sz w:val="18"/>
                <w:szCs w:val="18"/>
                <w:lang w:eastAsia="fr-FR"/>
              </w:rPr>
              <w:t xml:space="preserve"> Project (CDP) – Qualité de l’information carbone divulguée. Collecté de 2016 à 2020.</w:t>
            </w:r>
          </w:p>
        </w:tc>
        <w:tc>
          <w:tcPr>
            <w:tcW w:w="5670" w:type="dxa"/>
            <w:tcBorders>
              <w:bottom w:val="single" w:sz="4" w:space="0" w:color="auto"/>
            </w:tcBorders>
          </w:tcPr>
          <w:p w:rsidR="0042669B" w:rsidRPr="00040F24" w:rsidRDefault="0042669B" w:rsidP="0042669B">
            <w:pPr>
              <w:spacing w:before="100" w:beforeAutospacing="1" w:after="100" w:afterAutospacing="1"/>
              <w:jc w:val="center"/>
              <w:outlineLvl w:val="0"/>
            </w:pPr>
            <w:r w:rsidRPr="00040F24">
              <w:rPr>
                <w:rFonts w:ascii="Times New Roman" w:eastAsia="Times New Roman" w:hAnsi="Times New Roman" w:cs="Times New Roman"/>
                <w:bCs/>
                <w:kern w:val="36"/>
                <w:sz w:val="18"/>
                <w:szCs w:val="18"/>
                <w:lang w:eastAsia="fr-FR"/>
              </w:rPr>
              <w:t>Echelle adaptée à partir des scores annuels obtenus par les banques : de D- à A, 8 échelons. Traduit en note : de 1(D-) à 8(A). Deux niveaux sont intégrés : 0 = pas de réponse ou refus de la banque de participer ; 0,5 = rapport soumis mais non évalué car trop peu d’informations.</w:t>
            </w:r>
            <w:r w:rsidRPr="00040F24">
              <w:t xml:space="preserve"> </w:t>
            </w:r>
            <w:hyperlink r:id="rId8" w:history="1">
              <w:r w:rsidRPr="00040F24">
                <w:rPr>
                  <w:rFonts w:ascii="Times New Roman" w:eastAsia="Times New Roman" w:hAnsi="Times New Roman" w:cs="Times New Roman"/>
                  <w:bCs/>
                  <w:kern w:val="36"/>
                  <w:sz w:val="18"/>
                  <w:szCs w:val="18"/>
                  <w:u w:val="single"/>
                  <w:lang w:eastAsia="fr-FR"/>
                </w:rPr>
                <w:t>https://www.cdp.net/en/search</w:t>
              </w:r>
            </w:hyperlink>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GRI</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Score Global </w:t>
            </w:r>
            <w:proofErr w:type="spellStart"/>
            <w:r w:rsidRPr="00040F24">
              <w:rPr>
                <w:rFonts w:ascii="Times New Roman" w:eastAsia="Times New Roman" w:hAnsi="Times New Roman" w:cs="Times New Roman"/>
                <w:bCs/>
                <w:kern w:val="36"/>
                <w:sz w:val="18"/>
                <w:szCs w:val="18"/>
                <w:lang w:eastAsia="fr-FR"/>
              </w:rPr>
              <w:t>Reporting</w:t>
            </w:r>
            <w:proofErr w:type="spellEnd"/>
            <w:r w:rsidRPr="00040F24">
              <w:rPr>
                <w:rFonts w:ascii="Times New Roman" w:eastAsia="Times New Roman" w:hAnsi="Times New Roman" w:cs="Times New Roman"/>
                <w:bCs/>
                <w:kern w:val="36"/>
                <w:sz w:val="18"/>
                <w:szCs w:val="18"/>
                <w:lang w:eastAsia="fr-FR"/>
              </w:rPr>
              <w:t xml:space="preserve"> Initiative (GRI) – Qualité de l’information RSE divulguée. Collecté de 2016 à 2020.</w:t>
            </w:r>
          </w:p>
        </w:tc>
        <w:tc>
          <w:tcPr>
            <w:tcW w:w="5670" w:type="dxa"/>
            <w:tcBorders>
              <w:top w:val="nil"/>
            </w:tcBorders>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Note sur 20 : de 0 à 5 (pas de rapport, non-respect du cadre GRI, cadre GRI cité, faible respect des standards, respect moyen, respect élevé) ; puis 1 point ajouté pour chaque référence à l’une des normes/initiatives suivantes (UNGC, ISO, OECD, IFC, CDP, SDG, AA1000, ISAE3000, Assurance nationale générale) ; puis 2 points pour chaque item suivant : une vérification, un avis de panel de parties prenantes, une assurance externe.</w:t>
            </w:r>
            <w:r w:rsidRPr="00040F24">
              <w:t xml:space="preserve"> </w:t>
            </w:r>
            <w:hyperlink r:id="rId9" w:history="1">
              <w:r w:rsidRPr="00040F24">
                <w:rPr>
                  <w:rFonts w:ascii="Times New Roman" w:eastAsia="Times New Roman" w:hAnsi="Times New Roman" w:cs="Times New Roman"/>
                  <w:bCs/>
                  <w:kern w:val="36"/>
                  <w:sz w:val="18"/>
                  <w:szCs w:val="18"/>
                  <w:u w:val="single"/>
                  <w:lang w:eastAsia="fr-FR"/>
                </w:rPr>
                <w:t>https://database.globalreporting.org/</w:t>
              </w:r>
            </w:hyperlink>
          </w:p>
        </w:tc>
      </w:tr>
      <w:tr w:rsidR="0042669B" w:rsidRPr="00040F24" w:rsidTr="0042669B">
        <w:tc>
          <w:tcPr>
            <w:tcW w:w="892" w:type="dxa"/>
          </w:tcPr>
          <w:p w:rsidR="0042669B" w:rsidRPr="004F4428" w:rsidRDefault="001A2BF4"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Pr>
                <w:rFonts w:ascii="Times New Roman" w:eastAsia="Times New Roman" w:hAnsi="Times New Roman" w:cs="Times New Roman"/>
                <w:bCs/>
                <w:i/>
                <w:kern w:val="36"/>
                <w:sz w:val="18"/>
                <w:szCs w:val="18"/>
                <w:lang w:eastAsia="fr-FR"/>
              </w:rPr>
              <w:t>PIE</w:t>
            </w:r>
          </w:p>
        </w:tc>
        <w:tc>
          <w:tcPr>
            <w:tcW w:w="2222" w:type="dxa"/>
          </w:tcPr>
          <w:p w:rsidR="0042669B" w:rsidRPr="00040F24" w:rsidRDefault="001A2BF4" w:rsidP="001A2BF4">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 xml:space="preserve">Politiques d’Investissement Environnementales (nombre), </w:t>
            </w:r>
            <w:proofErr w:type="spellStart"/>
            <w:r>
              <w:rPr>
                <w:rFonts w:ascii="Times New Roman" w:eastAsia="Times New Roman" w:hAnsi="Times New Roman" w:cs="Times New Roman"/>
                <w:bCs/>
                <w:kern w:val="36"/>
                <w:sz w:val="18"/>
                <w:szCs w:val="18"/>
                <w:lang w:eastAsia="fr-FR"/>
              </w:rPr>
              <w:t>BankTrack</w:t>
            </w:r>
            <w:proofErr w:type="spellEnd"/>
            <w:r>
              <w:rPr>
                <w:rFonts w:ascii="Times New Roman" w:eastAsia="Times New Roman" w:hAnsi="Times New Roman" w:cs="Times New Roman"/>
                <w:bCs/>
                <w:kern w:val="36"/>
                <w:sz w:val="18"/>
                <w:szCs w:val="18"/>
                <w:lang w:eastAsia="fr-FR"/>
              </w:rPr>
              <w:t>, cumul</w:t>
            </w:r>
            <w:r w:rsidR="0042669B" w:rsidRPr="00040F24">
              <w:rPr>
                <w:rFonts w:ascii="Times New Roman" w:eastAsia="Times New Roman" w:hAnsi="Times New Roman" w:cs="Times New Roman"/>
                <w:bCs/>
                <w:kern w:val="36"/>
                <w:sz w:val="18"/>
                <w:szCs w:val="18"/>
                <w:lang w:eastAsia="fr-FR"/>
              </w:rPr>
              <w:t xml:space="preserve"> chaque fin d’année de 2015 à 2020, collectés à partir des sites internet des banques.</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E</w:t>
            </w:r>
            <w:r w:rsidR="001A2BF4">
              <w:rPr>
                <w:rFonts w:ascii="Times New Roman" w:eastAsia="Times New Roman" w:hAnsi="Times New Roman" w:cs="Times New Roman"/>
                <w:bCs/>
                <w:kern w:val="36"/>
                <w:sz w:val="18"/>
                <w:szCs w:val="18"/>
                <w:lang w:eastAsia="fr-FR"/>
              </w:rPr>
              <w:t>xemples d’engagements environnementaux</w:t>
            </w:r>
            <w:r w:rsidRPr="00040F24">
              <w:rPr>
                <w:rFonts w:ascii="Times New Roman" w:eastAsia="Times New Roman" w:hAnsi="Times New Roman" w:cs="Times New Roman"/>
                <w:bCs/>
                <w:kern w:val="36"/>
                <w:sz w:val="18"/>
                <w:szCs w:val="18"/>
                <w:lang w:eastAsia="fr-FR"/>
              </w:rPr>
              <w:t xml:space="preserve"> relevés (politiques d’investissement) : politique environnementale, sur le changement climatique, conformité aux accords de Paris, management du risque environnemental, standards pour une forêt durable, principes sur les obligations vertes, agriculture et huile de palme, stratégies sur l’eau potable, sur la biodiversité, la protection des océans, sur les énergies (nucléaire, fossiles, renouvelables), stratégies sectorielles (transport, aviation, mines, chimie…)… </w:t>
            </w:r>
            <w:hyperlink r:id="rId10" w:anchor="category=banks" w:history="1">
              <w:r w:rsidRPr="00040F24">
                <w:rPr>
                  <w:rFonts w:ascii="Times New Roman" w:eastAsia="Times New Roman" w:hAnsi="Times New Roman" w:cs="Times New Roman"/>
                  <w:bCs/>
                  <w:kern w:val="36"/>
                  <w:sz w:val="18"/>
                  <w:szCs w:val="18"/>
                  <w:u w:val="single"/>
                  <w:lang w:eastAsia="fr-FR"/>
                </w:rPr>
                <w:t>https://www.banktrack.org/search#category=banks</w:t>
              </w:r>
            </w:hyperlink>
          </w:p>
        </w:tc>
      </w:tr>
      <w:tr w:rsidR="0042669B" w:rsidRPr="00040F24" w:rsidTr="0042669B">
        <w:tc>
          <w:tcPr>
            <w:tcW w:w="892" w:type="dxa"/>
          </w:tcPr>
          <w:p w:rsidR="0042669B" w:rsidRPr="004F4428" w:rsidRDefault="001A2BF4"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Pr>
                <w:rFonts w:ascii="Times New Roman" w:eastAsia="Times New Roman" w:hAnsi="Times New Roman" w:cs="Times New Roman"/>
                <w:bCs/>
                <w:i/>
                <w:kern w:val="36"/>
                <w:sz w:val="18"/>
                <w:szCs w:val="18"/>
                <w:lang w:eastAsia="fr-FR"/>
              </w:rPr>
              <w:t>PIS</w:t>
            </w:r>
          </w:p>
        </w:tc>
        <w:tc>
          <w:tcPr>
            <w:tcW w:w="2222" w:type="dxa"/>
          </w:tcPr>
          <w:p w:rsidR="0042669B" w:rsidRPr="00040F24" w:rsidRDefault="001A2BF4"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 xml:space="preserve">Politiques d’Investissement Sociétales (nombre), cumul </w:t>
            </w:r>
            <w:r w:rsidR="0042669B" w:rsidRPr="00040F24">
              <w:rPr>
                <w:rFonts w:ascii="Times New Roman" w:eastAsia="Times New Roman" w:hAnsi="Times New Roman" w:cs="Times New Roman"/>
                <w:bCs/>
                <w:kern w:val="36"/>
                <w:sz w:val="18"/>
                <w:szCs w:val="18"/>
                <w:lang w:eastAsia="fr-FR"/>
              </w:rPr>
              <w:t>chaque fin d’année de 2015 à 2020, collectés à partir des sites internet des banques.</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Exemples d’engagements sociétaux relevés (politiques d’investissement) : programme anti-corruption, engagements contre l’esclavage moderne, le blanchiment d’argent, les crimes financiers, le financement du terrorisme, pour les droits de l’homme, pour la transparence, la protection des lanceurs d’alerte, le droit des peuples indigènes, pour la liberté d’association, codes d’éthique, de conduite sur les achats / ventes, critères de prêts aux pays en voie de développement, politiques RSE… </w:t>
            </w:r>
            <w:hyperlink r:id="rId11" w:anchor="category=banks" w:history="1">
              <w:r w:rsidRPr="00040F24">
                <w:rPr>
                  <w:rFonts w:ascii="Times New Roman" w:eastAsia="Times New Roman" w:hAnsi="Times New Roman" w:cs="Times New Roman"/>
                  <w:bCs/>
                  <w:kern w:val="36"/>
                  <w:sz w:val="18"/>
                  <w:szCs w:val="18"/>
                  <w:u w:val="single"/>
                  <w:lang w:eastAsia="fr-FR"/>
                </w:rPr>
                <w:t>https://www.banktrack.org/search#category=banks</w:t>
              </w:r>
            </w:hyperlink>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FEF</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Financement Energies Fossiles – Performance environnementale passée (en milliards de dollars, logarithme) – données annuelles sur la période 2016-2019.</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Les financements octroyés à 2 100 entreprises actives dans les filières des énergies fossiles (exploration, extraction, transport, combustion, stockage, selon la classification sectorielle de Bloomberg). Logarithme du montant en dollars. </w:t>
            </w:r>
            <w:hyperlink r:id="rId12" w:history="1">
              <w:r w:rsidRPr="00040F24">
                <w:rPr>
                  <w:rFonts w:ascii="Times New Roman" w:eastAsia="Times New Roman" w:hAnsi="Times New Roman" w:cs="Times New Roman"/>
                  <w:bCs/>
                  <w:kern w:val="36"/>
                  <w:sz w:val="18"/>
                  <w:szCs w:val="18"/>
                  <w:u w:val="single"/>
                  <w:lang w:eastAsia="fr-FR"/>
                </w:rPr>
                <w:t>https://www.ran.org/bankingonclimatechange2020/</w:t>
              </w:r>
            </w:hyperlink>
          </w:p>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CEF</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Croissance Energies Fossiles – Performance environnementale à venir (en milliards de dollars) – données annuelles sur la période 2016-2019.</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Les financements accordés aux 100 entreprises ayant le plus développé leurs activités liées aux énergies fossiles sur la période (Top 60 des firmes selon les réserves de pétrole et de gaz à exploiter d’ici 2050, 15 firmes qui pilotent les principaux pipelines et terminaux gaziers (infrastructures nécessaires à la croissance des EF), et 25 entreprises ayant des projets de développement de la filière charbon, au moins 1 par pays). Logarithme du montant en dollars.</w:t>
            </w:r>
            <w:r w:rsidRPr="00040F24">
              <w:t xml:space="preserve"> </w:t>
            </w:r>
            <w:hyperlink r:id="rId13" w:history="1">
              <w:r w:rsidRPr="00040F24">
                <w:rPr>
                  <w:rFonts w:ascii="Times New Roman" w:eastAsia="Times New Roman" w:hAnsi="Times New Roman" w:cs="Times New Roman"/>
                  <w:bCs/>
                  <w:kern w:val="36"/>
                  <w:sz w:val="18"/>
                  <w:szCs w:val="18"/>
                  <w:u w:val="single"/>
                  <w:lang w:eastAsia="fr-FR"/>
                </w:rPr>
                <w:t>https://www.ran.org/bankingonclimatechange2020</w:t>
              </w:r>
            </w:hyperlink>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TAILLE, RENTA</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Taille – Rentabilité. Données annuelles collectées sur la période 2016-2019.</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Taille : logarithme du total des actifs en millions de dollars. Rentabilité : Return On </w:t>
            </w:r>
            <w:proofErr w:type="spellStart"/>
            <w:r w:rsidRPr="00040F24">
              <w:rPr>
                <w:rFonts w:ascii="Times New Roman" w:eastAsia="Times New Roman" w:hAnsi="Times New Roman" w:cs="Times New Roman"/>
                <w:bCs/>
                <w:kern w:val="36"/>
                <w:sz w:val="18"/>
                <w:szCs w:val="18"/>
                <w:lang w:eastAsia="fr-FR"/>
              </w:rPr>
              <w:t>Assests</w:t>
            </w:r>
            <w:proofErr w:type="spellEnd"/>
            <w:r w:rsidRPr="00040F24">
              <w:rPr>
                <w:rFonts w:ascii="Times New Roman" w:eastAsia="Times New Roman" w:hAnsi="Times New Roman" w:cs="Times New Roman"/>
                <w:bCs/>
                <w:kern w:val="36"/>
                <w:sz w:val="18"/>
                <w:szCs w:val="18"/>
                <w:lang w:eastAsia="fr-FR"/>
              </w:rPr>
              <w:t xml:space="preserve"> (ROA) en %. Deux sources : le site </w:t>
            </w:r>
            <w:proofErr w:type="spellStart"/>
            <w:r w:rsidRPr="00040F24">
              <w:rPr>
                <w:rFonts w:ascii="Times New Roman" w:eastAsia="Times New Roman" w:hAnsi="Times New Roman" w:cs="Times New Roman"/>
                <w:bCs/>
                <w:kern w:val="36"/>
                <w:sz w:val="18"/>
                <w:szCs w:val="18"/>
                <w:lang w:eastAsia="fr-FR"/>
              </w:rPr>
              <w:t>Macrotrends</w:t>
            </w:r>
            <w:proofErr w:type="spellEnd"/>
            <w:r w:rsidRPr="00040F24">
              <w:rPr>
                <w:rFonts w:ascii="Times New Roman" w:eastAsia="Times New Roman" w:hAnsi="Times New Roman" w:cs="Times New Roman"/>
                <w:bCs/>
                <w:kern w:val="36"/>
                <w:sz w:val="18"/>
                <w:szCs w:val="18"/>
                <w:lang w:eastAsia="fr-FR"/>
              </w:rPr>
              <w:t xml:space="preserve"> et si donnée non disponible, le rapport annuel d’activité de la banque. </w:t>
            </w:r>
            <w:hyperlink r:id="rId14" w:history="1">
              <w:r w:rsidRPr="00040F24">
                <w:rPr>
                  <w:rFonts w:ascii="Times New Roman" w:eastAsia="Times New Roman" w:hAnsi="Times New Roman" w:cs="Times New Roman"/>
                  <w:bCs/>
                  <w:kern w:val="36"/>
                  <w:sz w:val="18"/>
                  <w:szCs w:val="18"/>
                  <w:u w:val="single"/>
                  <w:lang w:eastAsia="fr-FR"/>
                </w:rPr>
                <w:t>https://www.macrotrends.net/</w:t>
              </w:r>
            </w:hyperlink>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COT</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Nombre de cotations de la banque – collecté sur </w:t>
            </w:r>
            <w:proofErr w:type="spellStart"/>
            <w:r w:rsidRPr="00040F24">
              <w:rPr>
                <w:rFonts w:ascii="Times New Roman" w:eastAsia="Times New Roman" w:hAnsi="Times New Roman" w:cs="Times New Roman"/>
                <w:bCs/>
                <w:kern w:val="36"/>
                <w:sz w:val="18"/>
                <w:szCs w:val="18"/>
                <w:lang w:eastAsia="fr-FR"/>
              </w:rPr>
              <w:t>BankTrack</w:t>
            </w:r>
            <w:proofErr w:type="spellEnd"/>
            <w:r w:rsidRPr="00040F24">
              <w:rPr>
                <w:rFonts w:ascii="Times New Roman" w:eastAsia="Times New Roman" w:hAnsi="Times New Roman" w:cs="Times New Roman"/>
                <w:bCs/>
                <w:kern w:val="36"/>
                <w:sz w:val="18"/>
                <w:szCs w:val="18"/>
                <w:lang w:eastAsia="fr-FR"/>
              </w:rPr>
              <w:t>.</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 xml:space="preserve">Donnée stable sur la période 2016-2019. </w:t>
            </w:r>
            <w:hyperlink r:id="rId15" w:anchor="category=banks" w:history="1">
              <w:r w:rsidRPr="00040F24">
                <w:rPr>
                  <w:rFonts w:ascii="Times New Roman" w:eastAsia="Times New Roman" w:hAnsi="Times New Roman" w:cs="Times New Roman"/>
                  <w:bCs/>
                  <w:kern w:val="36"/>
                  <w:sz w:val="18"/>
                  <w:szCs w:val="18"/>
                  <w:u w:val="single"/>
                  <w:lang w:eastAsia="fr-FR"/>
                </w:rPr>
                <w:t>https://www.banktrack.org/search#category=banks</w:t>
              </w:r>
            </w:hyperlink>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lastRenderedPageBreak/>
              <w:t>EPI</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roofErr w:type="spellStart"/>
            <w:r w:rsidRPr="00040F24">
              <w:rPr>
                <w:rFonts w:ascii="Times New Roman" w:eastAsia="Times New Roman" w:hAnsi="Times New Roman" w:cs="Times New Roman"/>
                <w:bCs/>
                <w:kern w:val="36"/>
                <w:sz w:val="18"/>
                <w:szCs w:val="18"/>
                <w:lang w:eastAsia="fr-FR"/>
              </w:rPr>
              <w:t>Environmental</w:t>
            </w:r>
            <w:proofErr w:type="spellEnd"/>
            <w:r w:rsidRPr="00040F24">
              <w:rPr>
                <w:rFonts w:ascii="Times New Roman" w:eastAsia="Times New Roman" w:hAnsi="Times New Roman" w:cs="Times New Roman"/>
                <w:bCs/>
                <w:kern w:val="36"/>
                <w:sz w:val="18"/>
                <w:szCs w:val="18"/>
                <w:lang w:eastAsia="fr-FR"/>
              </w:rPr>
              <w:t xml:space="preserve"> Performance Index – Indice de performance environnemental du pays d’origine de la banque (sur 100). Période 2016-2019.</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color w:val="FF0000"/>
                <w:kern w:val="36"/>
                <w:sz w:val="18"/>
                <w:szCs w:val="18"/>
                <w:lang w:eastAsia="fr-FR"/>
              </w:rPr>
            </w:pPr>
            <w:r w:rsidRPr="00040F24">
              <w:rPr>
                <w:rFonts w:ascii="Times New Roman" w:eastAsia="Times New Roman" w:hAnsi="Times New Roman" w:cs="Times New Roman"/>
                <w:bCs/>
                <w:kern w:val="36"/>
                <w:sz w:val="18"/>
                <w:szCs w:val="18"/>
                <w:lang w:eastAsia="fr-FR"/>
              </w:rPr>
              <w:t xml:space="preserve">Les EPI sont </w:t>
            </w:r>
            <w:proofErr w:type="gramStart"/>
            <w:r w:rsidRPr="00040F24">
              <w:rPr>
                <w:rFonts w:ascii="Times New Roman" w:eastAsia="Times New Roman" w:hAnsi="Times New Roman" w:cs="Times New Roman"/>
                <w:bCs/>
                <w:kern w:val="36"/>
                <w:sz w:val="18"/>
                <w:szCs w:val="18"/>
                <w:lang w:eastAsia="fr-FR"/>
              </w:rPr>
              <w:t>calculés</w:t>
            </w:r>
            <w:proofErr w:type="gramEnd"/>
            <w:r w:rsidRPr="00040F24">
              <w:rPr>
                <w:rFonts w:ascii="Times New Roman" w:eastAsia="Times New Roman" w:hAnsi="Times New Roman" w:cs="Times New Roman"/>
                <w:bCs/>
                <w:kern w:val="36"/>
                <w:sz w:val="18"/>
                <w:szCs w:val="18"/>
                <w:lang w:eastAsia="fr-FR"/>
              </w:rPr>
              <w:t xml:space="preserve"> tous les 2 ans. Ainsi, pour cet article : 2016 : score EPI ; 2017 : moyenne des scores 2016-2018 ; 2018 : score EPI ; 2019 : moyenne des scores 2018 et 2020. </w:t>
            </w:r>
            <w:hyperlink r:id="rId16" w:history="1">
              <w:r w:rsidRPr="00040F24">
                <w:rPr>
                  <w:rFonts w:ascii="Times New Roman" w:eastAsia="Times New Roman" w:hAnsi="Times New Roman" w:cs="Times New Roman"/>
                  <w:bCs/>
                  <w:kern w:val="36"/>
                  <w:sz w:val="18"/>
                  <w:szCs w:val="18"/>
                  <w:u w:val="single"/>
                  <w:lang w:eastAsia="fr-FR"/>
                </w:rPr>
                <w:t>https://sedac.ciesin.columbia.edu/data/collection/epi/sets/browse</w:t>
              </w:r>
            </w:hyperlink>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EUR</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Union Européenne.</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Variable dichotomique ; prend la valeur 1 si la banque appartient à un pays de l’Union Européenne (entre 2016 et 2019) et 0 sinon.</w:t>
            </w:r>
          </w:p>
        </w:tc>
      </w:tr>
      <w:tr w:rsidR="0042669B" w:rsidRPr="00040F24" w:rsidTr="0042669B">
        <w:tc>
          <w:tcPr>
            <w:tcW w:w="892" w:type="dxa"/>
          </w:tcPr>
          <w:p w:rsidR="0042669B" w:rsidRPr="004F4428" w:rsidRDefault="0042669B" w:rsidP="0042669B">
            <w:pPr>
              <w:spacing w:before="100" w:beforeAutospacing="1" w:after="100" w:afterAutospacing="1"/>
              <w:jc w:val="center"/>
              <w:outlineLvl w:val="0"/>
              <w:rPr>
                <w:rFonts w:ascii="Times New Roman" w:eastAsia="Times New Roman" w:hAnsi="Times New Roman" w:cs="Times New Roman"/>
                <w:bCs/>
                <w:i/>
                <w:kern w:val="36"/>
                <w:sz w:val="18"/>
                <w:szCs w:val="18"/>
                <w:lang w:eastAsia="fr-FR"/>
              </w:rPr>
            </w:pPr>
            <w:r w:rsidRPr="004F4428">
              <w:rPr>
                <w:rFonts w:ascii="Times New Roman" w:eastAsia="Times New Roman" w:hAnsi="Times New Roman" w:cs="Times New Roman"/>
                <w:bCs/>
                <w:i/>
                <w:kern w:val="36"/>
                <w:sz w:val="18"/>
                <w:szCs w:val="18"/>
                <w:lang w:eastAsia="fr-FR"/>
              </w:rPr>
              <w:t>ANNEE</w:t>
            </w:r>
          </w:p>
        </w:tc>
        <w:tc>
          <w:tcPr>
            <w:tcW w:w="2222"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Année ; biais conjoncturel éventuel sur la période ou une année particulière.</w:t>
            </w:r>
          </w:p>
        </w:tc>
        <w:tc>
          <w:tcPr>
            <w:tcW w:w="5670" w:type="dxa"/>
          </w:tcPr>
          <w:p w:rsidR="0042669B" w:rsidRPr="00040F24"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sidRPr="00040F24">
              <w:rPr>
                <w:rFonts w:ascii="Times New Roman" w:eastAsia="Times New Roman" w:hAnsi="Times New Roman" w:cs="Times New Roman"/>
                <w:bCs/>
                <w:kern w:val="36"/>
                <w:sz w:val="18"/>
                <w:szCs w:val="18"/>
                <w:lang w:eastAsia="fr-FR"/>
              </w:rPr>
              <w:t>Plusieurs variables : une variable année (valeurs croissantes : 2016-2017-2018-2019) et 4 variables dichotomiques (0/1), une pour chaque année.</w:t>
            </w:r>
          </w:p>
        </w:tc>
      </w:tr>
    </w:tbl>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8"/>
          <w:szCs w:val="28"/>
          <w:lang w:eastAsia="fr-FR"/>
        </w:rPr>
      </w:pPr>
      <w:r w:rsidRPr="00255584">
        <w:rPr>
          <w:rFonts w:ascii="Times New Roman" w:eastAsia="Times New Roman" w:hAnsi="Times New Roman" w:cs="Times New Roman"/>
          <w:b/>
          <w:bCs/>
          <w:kern w:val="36"/>
          <w:sz w:val="28"/>
          <w:szCs w:val="28"/>
          <w:lang w:eastAsia="fr-FR"/>
        </w:rPr>
        <w:t>4 Résultats</w:t>
      </w: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sidRPr="00255584">
        <w:rPr>
          <w:rFonts w:ascii="Times New Roman" w:eastAsia="Times New Roman" w:hAnsi="Times New Roman" w:cs="Times New Roman"/>
          <w:b/>
          <w:bCs/>
          <w:kern w:val="36"/>
          <w:sz w:val="24"/>
          <w:szCs w:val="24"/>
          <w:lang w:eastAsia="fr-FR"/>
        </w:rPr>
        <w:t xml:space="preserve">4.1 </w:t>
      </w:r>
      <w:r w:rsidR="00EB3251" w:rsidRPr="00255584">
        <w:rPr>
          <w:rFonts w:ascii="Times New Roman" w:eastAsia="Times New Roman" w:hAnsi="Times New Roman" w:cs="Times New Roman"/>
          <w:b/>
          <w:bCs/>
          <w:kern w:val="36"/>
          <w:sz w:val="24"/>
          <w:szCs w:val="24"/>
          <w:lang w:eastAsia="fr-FR"/>
        </w:rPr>
        <w:t>Statistiques descriptives</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Sur la période 2016-2019, le rapport RAN souli</w:t>
      </w:r>
      <w:r w:rsidR="006F65E6">
        <w:rPr>
          <w:rFonts w:ascii="Times New Roman" w:eastAsia="Times New Roman" w:hAnsi="Times New Roman" w:cs="Times New Roman"/>
          <w:bCs/>
          <w:kern w:val="36"/>
          <w:sz w:val="24"/>
          <w:szCs w:val="24"/>
          <w:lang w:eastAsia="fr-FR"/>
        </w:rPr>
        <w:t>gne que les financements cumulés</w:t>
      </w:r>
      <w:r w:rsidRPr="001845C0">
        <w:rPr>
          <w:rFonts w:ascii="Times New Roman" w:eastAsia="Times New Roman" w:hAnsi="Times New Roman" w:cs="Times New Roman"/>
          <w:bCs/>
          <w:kern w:val="36"/>
          <w:sz w:val="24"/>
          <w:szCs w:val="24"/>
          <w:lang w:eastAsia="fr-FR"/>
        </w:rPr>
        <w:t xml:space="preserve"> des 35 banques de l’échantillon aux filières fossiles, variables </w:t>
      </w:r>
      <w:r w:rsidRPr="001845C0">
        <w:rPr>
          <w:rFonts w:ascii="Times New Roman" w:eastAsia="Times New Roman" w:hAnsi="Times New Roman" w:cs="Times New Roman"/>
          <w:bCs/>
          <w:i/>
          <w:kern w:val="36"/>
          <w:sz w:val="24"/>
          <w:szCs w:val="24"/>
          <w:lang w:eastAsia="fr-FR"/>
        </w:rPr>
        <w:t xml:space="preserve">FEF </w:t>
      </w:r>
      <w:r w:rsidRPr="001845C0">
        <w:rPr>
          <w:rFonts w:ascii="Times New Roman" w:eastAsia="Times New Roman" w:hAnsi="Times New Roman" w:cs="Times New Roman"/>
          <w:bCs/>
          <w:kern w:val="36"/>
          <w:sz w:val="24"/>
          <w:szCs w:val="24"/>
          <w:lang w:eastAsia="fr-FR"/>
        </w:rPr>
        <w:t xml:space="preserve">et </w:t>
      </w:r>
      <w:r w:rsidRPr="001845C0">
        <w:rPr>
          <w:rFonts w:ascii="Times New Roman" w:eastAsia="Times New Roman" w:hAnsi="Times New Roman" w:cs="Times New Roman"/>
          <w:bCs/>
          <w:i/>
          <w:kern w:val="36"/>
          <w:sz w:val="24"/>
          <w:szCs w:val="24"/>
          <w:lang w:eastAsia="fr-FR"/>
        </w:rPr>
        <w:t>CEF</w:t>
      </w:r>
      <w:r w:rsidRPr="001845C0">
        <w:rPr>
          <w:rFonts w:ascii="Times New Roman" w:eastAsia="Times New Roman" w:hAnsi="Times New Roman" w:cs="Times New Roman"/>
          <w:bCs/>
          <w:kern w:val="36"/>
          <w:sz w:val="24"/>
          <w:szCs w:val="24"/>
          <w:lang w:eastAsia="fr-FR"/>
        </w:rPr>
        <w:t>, s’élèvent respectivement à 2 749 et 975 milliard</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de dollars. Si l’on s’intéresse aux variations entre 2016 et 2019, deux tendances sont à souligner :</w:t>
      </w:r>
    </w:p>
    <w:p w:rsidR="00EB3251" w:rsidRPr="001845C0" w:rsidRDefault="006F65E6" w:rsidP="00EB3251">
      <w:pPr>
        <w:pStyle w:val="Paragraphedeliste"/>
        <w:numPr>
          <w:ilvl w:val="0"/>
          <w:numId w:val="3"/>
        </w:num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U</w:t>
      </w:r>
      <w:r w:rsidR="00EB3251" w:rsidRPr="001845C0">
        <w:rPr>
          <w:rFonts w:ascii="Times New Roman" w:eastAsia="Times New Roman" w:hAnsi="Times New Roman" w:cs="Times New Roman"/>
          <w:bCs/>
          <w:kern w:val="36"/>
          <w:sz w:val="24"/>
          <w:szCs w:val="24"/>
          <w:lang w:eastAsia="fr-FR"/>
        </w:rPr>
        <w:t xml:space="preserve">ne hausse moyenne importante des financements accordés aux filières fossiles de +25,1% pour </w:t>
      </w:r>
      <w:r w:rsidR="00EB3251" w:rsidRPr="001845C0">
        <w:rPr>
          <w:rFonts w:ascii="Times New Roman" w:eastAsia="Times New Roman" w:hAnsi="Times New Roman" w:cs="Times New Roman"/>
          <w:bCs/>
          <w:i/>
          <w:kern w:val="36"/>
          <w:sz w:val="24"/>
          <w:szCs w:val="24"/>
          <w:lang w:eastAsia="fr-FR"/>
        </w:rPr>
        <w:t>FEF</w:t>
      </w:r>
      <w:r w:rsidR="00EB3251" w:rsidRPr="001845C0">
        <w:rPr>
          <w:rFonts w:ascii="Times New Roman" w:eastAsia="Times New Roman" w:hAnsi="Times New Roman" w:cs="Times New Roman"/>
          <w:bCs/>
          <w:kern w:val="36"/>
          <w:sz w:val="24"/>
          <w:szCs w:val="24"/>
          <w:lang w:eastAsia="fr-FR"/>
        </w:rPr>
        <w:t xml:space="preserve"> et +33,3% pour </w:t>
      </w:r>
      <w:r w:rsidR="00EB3251" w:rsidRPr="001845C0">
        <w:rPr>
          <w:rFonts w:ascii="Times New Roman" w:eastAsia="Times New Roman" w:hAnsi="Times New Roman" w:cs="Times New Roman"/>
          <w:bCs/>
          <w:i/>
          <w:kern w:val="36"/>
          <w:sz w:val="24"/>
          <w:szCs w:val="24"/>
          <w:lang w:eastAsia="fr-FR"/>
        </w:rPr>
        <w:t>CEF</w:t>
      </w:r>
      <w:r w:rsidR="00EB3251" w:rsidRPr="001845C0">
        <w:rPr>
          <w:rFonts w:ascii="Times New Roman" w:eastAsia="Times New Roman" w:hAnsi="Times New Roman" w:cs="Times New Roman"/>
          <w:bCs/>
          <w:kern w:val="36"/>
          <w:sz w:val="24"/>
          <w:szCs w:val="24"/>
          <w:lang w:eastAsia="fr-FR"/>
        </w:rPr>
        <w:t xml:space="preserve">, et surtout plus rapide que la croissance des actifs sur la période : +10% pour la variable </w:t>
      </w:r>
      <w:r w:rsidR="00EB3251" w:rsidRPr="001845C0">
        <w:rPr>
          <w:rFonts w:ascii="Times New Roman" w:eastAsia="Times New Roman" w:hAnsi="Times New Roman" w:cs="Times New Roman"/>
          <w:bCs/>
          <w:i/>
          <w:kern w:val="36"/>
          <w:sz w:val="24"/>
          <w:szCs w:val="24"/>
          <w:lang w:eastAsia="fr-FR"/>
        </w:rPr>
        <w:t>TAILLE</w:t>
      </w:r>
      <w:r w:rsidR="00EB3251" w:rsidRPr="001845C0">
        <w:rPr>
          <w:rFonts w:ascii="Times New Roman" w:eastAsia="Times New Roman" w:hAnsi="Times New Roman" w:cs="Times New Roman"/>
          <w:bCs/>
          <w:kern w:val="36"/>
          <w:sz w:val="24"/>
          <w:szCs w:val="24"/>
          <w:lang w:eastAsia="fr-FR"/>
        </w:rPr>
        <w:t xml:space="preserve">. </w:t>
      </w:r>
    </w:p>
    <w:p w:rsidR="00EB3251" w:rsidRPr="001845C0" w:rsidRDefault="006F65E6" w:rsidP="00EB3251">
      <w:pPr>
        <w:pStyle w:val="Paragraphedeliste"/>
        <w:numPr>
          <w:ilvl w:val="0"/>
          <w:numId w:val="3"/>
        </w:num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U</w:t>
      </w:r>
      <w:r w:rsidR="00EB3251" w:rsidRPr="001845C0">
        <w:rPr>
          <w:rFonts w:ascii="Times New Roman" w:eastAsia="Times New Roman" w:hAnsi="Times New Roman" w:cs="Times New Roman"/>
          <w:bCs/>
          <w:kern w:val="36"/>
          <w:sz w:val="24"/>
          <w:szCs w:val="24"/>
          <w:lang w:eastAsia="fr-FR"/>
        </w:rPr>
        <w:t>ne baisse moyenne des EPI des pays d’origine de -9,18 points, alors que la période</w:t>
      </w:r>
      <w:r w:rsidR="00EB3251">
        <w:rPr>
          <w:rFonts w:ascii="Times New Roman" w:eastAsia="Times New Roman" w:hAnsi="Times New Roman" w:cs="Times New Roman"/>
          <w:bCs/>
          <w:kern w:val="36"/>
          <w:sz w:val="24"/>
          <w:szCs w:val="24"/>
          <w:lang w:eastAsia="fr-FR"/>
        </w:rPr>
        <w:t xml:space="preserve"> correspond aux premiers pas </w:t>
      </w:r>
      <w:r w:rsidR="00EB3251" w:rsidRPr="001845C0">
        <w:rPr>
          <w:rFonts w:ascii="Times New Roman" w:eastAsia="Times New Roman" w:hAnsi="Times New Roman" w:cs="Times New Roman"/>
          <w:bCs/>
          <w:kern w:val="36"/>
          <w:sz w:val="24"/>
          <w:szCs w:val="24"/>
          <w:lang w:eastAsia="fr-FR"/>
        </w:rPr>
        <w:t>des engagements pris par la communauté internationale lors de la COP 21 à Paris en 2015.</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Les statistiques du tableau 5</w:t>
      </w:r>
      <w:r w:rsidRPr="001845C0">
        <w:rPr>
          <w:rFonts w:ascii="Times New Roman" w:eastAsia="Times New Roman" w:hAnsi="Times New Roman" w:cs="Times New Roman"/>
          <w:bCs/>
          <w:kern w:val="36"/>
          <w:sz w:val="24"/>
          <w:szCs w:val="24"/>
          <w:lang w:eastAsia="fr-FR"/>
        </w:rPr>
        <w:t xml:space="preserve"> portent sur les données annuelles (140 observations). Les indicateurs de DVI présentent des valeurs contrastées : élevées pour les sco</w:t>
      </w:r>
      <w:r w:rsidR="00A91F35">
        <w:rPr>
          <w:rFonts w:ascii="Times New Roman" w:eastAsia="Times New Roman" w:hAnsi="Times New Roman" w:cs="Times New Roman"/>
          <w:bCs/>
          <w:kern w:val="36"/>
          <w:sz w:val="24"/>
          <w:szCs w:val="24"/>
          <w:lang w:eastAsia="fr-FR"/>
        </w:rPr>
        <w:t>res CDP avec une moyenne de 5,33</w:t>
      </w:r>
      <w:r w:rsidRPr="001845C0">
        <w:rPr>
          <w:rFonts w:ascii="Times New Roman" w:eastAsia="Times New Roman" w:hAnsi="Times New Roman" w:cs="Times New Roman"/>
          <w:bCs/>
          <w:kern w:val="36"/>
          <w:sz w:val="24"/>
          <w:szCs w:val="24"/>
          <w:lang w:eastAsia="fr-FR"/>
        </w:rPr>
        <w:t xml:space="preserve"> (médiane à 6) sur une échelle de 8</w:t>
      </w:r>
      <w:r w:rsidRPr="001845C0">
        <w:rPr>
          <w:rStyle w:val="Appelnotedebasdep"/>
          <w:rFonts w:ascii="Times New Roman" w:eastAsia="Times New Roman" w:hAnsi="Times New Roman" w:cs="Times New Roman"/>
          <w:bCs/>
          <w:kern w:val="36"/>
          <w:sz w:val="24"/>
          <w:szCs w:val="24"/>
          <w:lang w:eastAsia="fr-FR"/>
        </w:rPr>
        <w:footnoteReference w:id="11"/>
      </w:r>
      <w:r w:rsidRPr="001845C0">
        <w:rPr>
          <w:rFonts w:ascii="Times New Roman" w:eastAsia="Times New Roman" w:hAnsi="Times New Roman" w:cs="Times New Roman"/>
          <w:bCs/>
          <w:kern w:val="36"/>
          <w:sz w:val="24"/>
          <w:szCs w:val="24"/>
          <w:lang w:eastAsia="fr-FR"/>
        </w:rPr>
        <w:t xml:space="preserve">, faibles pour les scores GRI avec une </w:t>
      </w:r>
      <w:r w:rsidR="00E21985">
        <w:rPr>
          <w:rFonts w:ascii="Times New Roman" w:eastAsia="Times New Roman" w:hAnsi="Times New Roman" w:cs="Times New Roman"/>
          <w:bCs/>
          <w:kern w:val="36"/>
          <w:sz w:val="24"/>
          <w:szCs w:val="24"/>
          <w:lang w:eastAsia="fr-FR"/>
        </w:rPr>
        <w:lastRenderedPageBreak/>
        <w:t>moyenne de 4,52</w:t>
      </w:r>
      <w:r w:rsidRPr="001845C0">
        <w:rPr>
          <w:rFonts w:ascii="Times New Roman" w:eastAsia="Times New Roman" w:hAnsi="Times New Roman" w:cs="Times New Roman"/>
          <w:bCs/>
          <w:kern w:val="36"/>
          <w:sz w:val="24"/>
          <w:szCs w:val="24"/>
          <w:lang w:eastAsia="fr-FR"/>
        </w:rPr>
        <w:t xml:space="preserve"> (médiane à 2) sur une échelle de 20</w:t>
      </w:r>
      <w:r w:rsidRPr="001845C0">
        <w:rPr>
          <w:rStyle w:val="Appelnotedebasdep"/>
          <w:rFonts w:ascii="Times New Roman" w:eastAsia="Times New Roman" w:hAnsi="Times New Roman" w:cs="Times New Roman"/>
          <w:bCs/>
          <w:kern w:val="36"/>
          <w:sz w:val="24"/>
          <w:szCs w:val="24"/>
          <w:lang w:eastAsia="fr-FR"/>
        </w:rPr>
        <w:footnoteReference w:id="12"/>
      </w:r>
      <w:r w:rsidRPr="001845C0">
        <w:rPr>
          <w:rFonts w:ascii="Times New Roman" w:eastAsia="Times New Roman" w:hAnsi="Times New Roman" w:cs="Times New Roman"/>
          <w:bCs/>
          <w:kern w:val="36"/>
          <w:sz w:val="24"/>
          <w:szCs w:val="24"/>
          <w:lang w:eastAsia="fr-FR"/>
        </w:rPr>
        <w:t xml:space="preserve">, et basses mais homogènes pour les engagements cumulés </w:t>
      </w:r>
      <w:r w:rsidRPr="00E96674">
        <w:rPr>
          <w:rFonts w:ascii="Times New Roman" w:eastAsia="Times New Roman" w:hAnsi="Times New Roman" w:cs="Times New Roman"/>
          <w:bCs/>
          <w:kern w:val="36"/>
          <w:sz w:val="24"/>
          <w:szCs w:val="24"/>
          <w:lang w:eastAsia="fr-FR"/>
        </w:rPr>
        <w:t>(</w:t>
      </w:r>
      <w:r w:rsidR="001A2BF4">
        <w:rPr>
          <w:rFonts w:ascii="Times New Roman" w:eastAsia="Times New Roman" w:hAnsi="Times New Roman" w:cs="Times New Roman"/>
          <w:bCs/>
          <w:i/>
          <w:kern w:val="36"/>
          <w:sz w:val="24"/>
          <w:szCs w:val="24"/>
          <w:lang w:eastAsia="fr-FR"/>
        </w:rPr>
        <w:t>PIE</w:t>
      </w:r>
      <w:r w:rsidR="00E21985">
        <w:rPr>
          <w:rFonts w:ascii="Times New Roman" w:eastAsia="Times New Roman" w:hAnsi="Times New Roman" w:cs="Times New Roman"/>
          <w:bCs/>
          <w:i/>
          <w:kern w:val="36"/>
          <w:sz w:val="24"/>
          <w:szCs w:val="24"/>
          <w:lang w:eastAsia="fr-FR"/>
        </w:rPr>
        <w:t xml:space="preserve"> </w:t>
      </w:r>
      <w:r w:rsidR="00E21985" w:rsidRPr="00E21985">
        <w:rPr>
          <w:rFonts w:ascii="Times New Roman" w:eastAsia="Times New Roman" w:hAnsi="Times New Roman" w:cs="Times New Roman"/>
          <w:bCs/>
          <w:kern w:val="36"/>
          <w:sz w:val="24"/>
          <w:szCs w:val="24"/>
          <w:lang w:eastAsia="fr-FR"/>
        </w:rPr>
        <w:t>et</w:t>
      </w:r>
      <w:r w:rsidR="001A2BF4">
        <w:rPr>
          <w:rFonts w:ascii="Times New Roman" w:eastAsia="Times New Roman" w:hAnsi="Times New Roman" w:cs="Times New Roman"/>
          <w:bCs/>
          <w:i/>
          <w:kern w:val="36"/>
          <w:sz w:val="24"/>
          <w:szCs w:val="24"/>
          <w:lang w:eastAsia="fr-FR"/>
        </w:rPr>
        <w:t xml:space="preserve"> PIS</w:t>
      </w:r>
      <w:r w:rsidRPr="00E96674">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avec </w:t>
      </w:r>
      <w:r w:rsidR="00E21985">
        <w:rPr>
          <w:rFonts w:ascii="Times New Roman" w:eastAsia="Times New Roman" w:hAnsi="Times New Roman" w:cs="Times New Roman"/>
          <w:bCs/>
          <w:kern w:val="36"/>
          <w:sz w:val="24"/>
          <w:szCs w:val="24"/>
          <w:lang w:eastAsia="fr-FR"/>
        </w:rPr>
        <w:t>des moyennes respectives de 3,18</w:t>
      </w:r>
      <w:r w:rsidRPr="001845C0">
        <w:rPr>
          <w:rFonts w:ascii="Times New Roman" w:eastAsia="Times New Roman" w:hAnsi="Times New Roman" w:cs="Times New Roman"/>
          <w:bCs/>
          <w:kern w:val="36"/>
          <w:sz w:val="24"/>
          <w:szCs w:val="24"/>
          <w:lang w:eastAsia="fr-FR"/>
        </w:rPr>
        <w:t xml:space="preserve"> et </w:t>
      </w:r>
      <w:r w:rsidR="00E21985">
        <w:rPr>
          <w:rFonts w:ascii="Times New Roman" w:eastAsia="Times New Roman" w:hAnsi="Times New Roman" w:cs="Times New Roman"/>
          <w:bCs/>
          <w:kern w:val="36"/>
          <w:sz w:val="24"/>
          <w:szCs w:val="24"/>
          <w:lang w:eastAsia="fr-FR"/>
        </w:rPr>
        <w:t>4,15</w:t>
      </w:r>
      <w:r w:rsidRPr="001845C0">
        <w:rPr>
          <w:rFonts w:ascii="Times New Roman" w:eastAsia="Times New Roman" w:hAnsi="Times New Roman" w:cs="Times New Roman"/>
          <w:bCs/>
          <w:kern w:val="36"/>
          <w:sz w:val="24"/>
          <w:szCs w:val="24"/>
          <w:lang w:eastAsia="fr-FR"/>
        </w:rPr>
        <w:t>.</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 xml:space="preserve">L’échantillon compte 35 des 60 plus grandes banques commerciales internationales. Elles sont cotées en moyenne sur 2 places boursières (et jusqu’à 4 pour trois d’entre elles, HSBC, </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antander et Standard </w:t>
      </w:r>
      <w:proofErr w:type="spellStart"/>
      <w:r w:rsidRPr="001845C0">
        <w:rPr>
          <w:rFonts w:ascii="Times New Roman" w:eastAsia="Times New Roman" w:hAnsi="Times New Roman" w:cs="Times New Roman"/>
          <w:bCs/>
          <w:kern w:val="36"/>
          <w:sz w:val="24"/>
          <w:szCs w:val="24"/>
          <w:lang w:eastAsia="fr-FR"/>
        </w:rPr>
        <w:t>Chartered</w:t>
      </w:r>
      <w:proofErr w:type="spellEnd"/>
      <w:r w:rsidRPr="001845C0">
        <w:rPr>
          <w:rFonts w:ascii="Times New Roman" w:eastAsia="Times New Roman" w:hAnsi="Times New Roman" w:cs="Times New Roman"/>
          <w:bCs/>
          <w:kern w:val="36"/>
          <w:sz w:val="24"/>
          <w:szCs w:val="24"/>
          <w:lang w:eastAsia="fr-FR"/>
        </w:rPr>
        <w:t>). Les montants totaux de leurs actifs fin 2019 sont en moyenne de 1 647 milliard</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de dollars, avec un écart-type de 952 milliard</w:t>
      </w:r>
      <w:r>
        <w:rPr>
          <w:rFonts w:ascii="Times New Roman" w:eastAsia="Times New Roman" w:hAnsi="Times New Roman" w:cs="Times New Roman"/>
          <w:bCs/>
          <w:kern w:val="36"/>
          <w:sz w:val="24"/>
          <w:szCs w:val="24"/>
          <w:lang w:eastAsia="fr-FR"/>
        </w:rPr>
        <w:t>s</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15 banques, soit 43% de l’échantillon, sont originaires de pays de l’UE.</w:t>
      </w:r>
    </w:p>
    <w:p w:rsidR="00EB3251" w:rsidRPr="001845C0"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Les EPI des pays d’origine sont en</w:t>
      </w:r>
      <w:r w:rsidR="00E21985">
        <w:rPr>
          <w:rFonts w:ascii="Times New Roman" w:eastAsia="Times New Roman" w:hAnsi="Times New Roman" w:cs="Times New Roman"/>
          <w:bCs/>
          <w:kern w:val="36"/>
          <w:sz w:val="24"/>
          <w:szCs w:val="24"/>
          <w:lang w:eastAsia="fr-FR"/>
        </w:rPr>
        <w:t xml:space="preserve"> moyenne élevés (médiane) : 77 (78</w:t>
      </w:r>
      <w:r w:rsidRPr="001845C0">
        <w:rPr>
          <w:rFonts w:ascii="Times New Roman" w:eastAsia="Times New Roman" w:hAnsi="Times New Roman" w:cs="Times New Roman"/>
          <w:bCs/>
          <w:kern w:val="36"/>
          <w:sz w:val="24"/>
          <w:szCs w:val="24"/>
          <w:lang w:eastAsia="fr-FR"/>
        </w:rPr>
        <w:t>,6) sur une échelle de 100. Cependant, une forte dégradation est à noter sur les indices de 2018, baisse qui impacte principalement les pays non européens (Etats-Unis, Chine, Japon et Canada). La Chine affiche les indices les plus faibles, toutes péri</w:t>
      </w:r>
      <w:r w:rsidR="00E21985">
        <w:rPr>
          <w:rFonts w:ascii="Times New Roman" w:eastAsia="Times New Roman" w:hAnsi="Times New Roman" w:cs="Times New Roman"/>
          <w:bCs/>
          <w:kern w:val="36"/>
          <w:sz w:val="24"/>
          <w:szCs w:val="24"/>
          <w:lang w:eastAsia="fr-FR"/>
        </w:rPr>
        <w:t>odes confondues (minimum de 44</w:t>
      </w:r>
      <w:r w:rsidRPr="001845C0">
        <w:rPr>
          <w:rFonts w:ascii="Times New Roman" w:eastAsia="Times New Roman" w:hAnsi="Times New Roman" w:cs="Times New Roman"/>
          <w:bCs/>
          <w:kern w:val="36"/>
          <w:sz w:val="24"/>
          <w:szCs w:val="24"/>
          <w:lang w:eastAsia="fr-FR"/>
        </w:rPr>
        <w:t>).</w:t>
      </w:r>
      <w:r>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kern w:val="36"/>
          <w:sz w:val="24"/>
          <w:szCs w:val="24"/>
          <w:lang w:eastAsia="fr-FR"/>
        </w:rPr>
        <w:t xml:space="preserve">Enfin, les banques de l’échantillon affichent </w:t>
      </w:r>
      <w:r>
        <w:rPr>
          <w:rFonts w:ascii="Times New Roman" w:eastAsia="Times New Roman" w:hAnsi="Times New Roman" w:cs="Times New Roman"/>
          <w:bCs/>
          <w:kern w:val="36"/>
          <w:sz w:val="24"/>
          <w:szCs w:val="24"/>
          <w:lang w:eastAsia="fr-FR"/>
        </w:rPr>
        <w:t>un taux de rentabilité moyen (médian) positif, +0,53% (+0,49%).</w:t>
      </w:r>
      <w:r w:rsidRPr="001845C0">
        <w:rPr>
          <w:rFonts w:ascii="Times New Roman" w:eastAsia="Times New Roman" w:hAnsi="Times New Roman" w:cs="Times New Roman"/>
          <w:bCs/>
          <w:kern w:val="36"/>
          <w:sz w:val="24"/>
          <w:szCs w:val="24"/>
          <w:lang w:eastAsia="fr-FR"/>
        </w:rPr>
        <w:t xml:space="preserve"> Globalement, l’analyse descriptive révèle que : 1/ les financements des filières fossiles ont très largement augmenté sur la période, 2/ les scores de DVI sont plutôt faibles </w:t>
      </w:r>
      <w:r w:rsidR="00E21985">
        <w:rPr>
          <w:rFonts w:ascii="Times New Roman" w:eastAsia="Times New Roman" w:hAnsi="Times New Roman" w:cs="Times New Roman"/>
          <w:bCs/>
          <w:kern w:val="36"/>
          <w:sz w:val="24"/>
          <w:szCs w:val="24"/>
          <w:lang w:eastAsia="fr-FR"/>
        </w:rPr>
        <w:t>en valeurs a</w:t>
      </w:r>
      <w:r w:rsidR="00115A02">
        <w:rPr>
          <w:rFonts w:ascii="Times New Roman" w:eastAsia="Times New Roman" w:hAnsi="Times New Roman" w:cs="Times New Roman"/>
          <w:bCs/>
          <w:kern w:val="36"/>
          <w:sz w:val="24"/>
          <w:szCs w:val="24"/>
          <w:lang w:eastAsia="fr-FR"/>
        </w:rPr>
        <w:t>bsolues</w:t>
      </w:r>
      <w:r w:rsidR="00E21985">
        <w:rPr>
          <w:rFonts w:ascii="Times New Roman" w:eastAsia="Times New Roman" w:hAnsi="Times New Roman" w:cs="Times New Roman"/>
          <w:bCs/>
          <w:kern w:val="36"/>
          <w:sz w:val="24"/>
          <w:szCs w:val="24"/>
          <w:lang w:eastAsia="fr-FR"/>
        </w:rPr>
        <w:t xml:space="preserve"> </w:t>
      </w:r>
      <w:r w:rsidRPr="001845C0">
        <w:rPr>
          <w:rFonts w:ascii="Times New Roman" w:eastAsia="Times New Roman" w:hAnsi="Times New Roman" w:cs="Times New Roman"/>
          <w:bCs/>
          <w:kern w:val="36"/>
          <w:sz w:val="24"/>
          <w:szCs w:val="24"/>
          <w:lang w:eastAsia="fr-FR"/>
        </w:rPr>
        <w:t xml:space="preserve">à l’exception du CDP, 3/ l’échantillon est composé de très grandes banques internationales visibles et exposées, cotées sur plusieurs places boursières, 4/ des disparités sont à prendre en compte lors des tests notamment sur la </w:t>
      </w:r>
      <w:r>
        <w:rPr>
          <w:rFonts w:ascii="Times New Roman" w:eastAsia="Times New Roman" w:hAnsi="Times New Roman" w:cs="Times New Roman"/>
          <w:bCs/>
          <w:kern w:val="36"/>
          <w:sz w:val="24"/>
          <w:szCs w:val="24"/>
          <w:lang w:eastAsia="fr-FR"/>
        </w:rPr>
        <w:t>taille et le contexte national (</w:t>
      </w:r>
      <w:r w:rsidRPr="00D93D76">
        <w:rPr>
          <w:rFonts w:ascii="Times New Roman" w:eastAsia="Times New Roman" w:hAnsi="Times New Roman" w:cs="Times New Roman"/>
          <w:bCs/>
          <w:i/>
          <w:kern w:val="36"/>
          <w:sz w:val="24"/>
          <w:szCs w:val="24"/>
          <w:lang w:eastAsia="fr-FR"/>
        </w:rPr>
        <w:t>EUR</w:t>
      </w:r>
      <w:r>
        <w:rPr>
          <w:rFonts w:ascii="Times New Roman" w:eastAsia="Times New Roman" w:hAnsi="Times New Roman" w:cs="Times New Roman"/>
          <w:bCs/>
          <w:kern w:val="36"/>
          <w:sz w:val="24"/>
          <w:szCs w:val="24"/>
          <w:lang w:eastAsia="fr-FR"/>
        </w:rPr>
        <w:t xml:space="preserve"> et </w:t>
      </w:r>
      <w:r w:rsidRPr="00D93D76">
        <w:rPr>
          <w:rFonts w:ascii="Times New Roman" w:eastAsia="Times New Roman" w:hAnsi="Times New Roman" w:cs="Times New Roman"/>
          <w:bCs/>
          <w:i/>
          <w:kern w:val="36"/>
          <w:sz w:val="24"/>
          <w:szCs w:val="24"/>
          <w:lang w:eastAsia="fr-FR"/>
        </w:rPr>
        <w:t>EPI</w:t>
      </w:r>
      <w:r w:rsidRPr="001845C0">
        <w:rPr>
          <w:rFonts w:ascii="Times New Roman" w:eastAsia="Times New Roman" w:hAnsi="Times New Roman" w:cs="Times New Roman"/>
          <w:bCs/>
          <w:kern w:val="36"/>
          <w:sz w:val="24"/>
          <w:szCs w:val="24"/>
          <w:lang w:eastAsia="fr-FR"/>
        </w:rPr>
        <w:t>).</w:t>
      </w:r>
    </w:p>
    <w:p w:rsidR="0042669B" w:rsidRPr="00482C55" w:rsidRDefault="0042669B" w:rsidP="0042669B">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482C55">
        <w:rPr>
          <w:rFonts w:ascii="Times New Roman" w:eastAsia="Times New Roman" w:hAnsi="Times New Roman" w:cs="Times New Roman"/>
          <w:b/>
          <w:bCs/>
          <w:kern w:val="36"/>
          <w:sz w:val="24"/>
          <w:szCs w:val="24"/>
          <w:lang w:eastAsia="fr-FR"/>
        </w:rPr>
        <w:t>Tableau 5 : Statistiques descriptives – données annuelles.</w:t>
      </w:r>
    </w:p>
    <w:tbl>
      <w:tblPr>
        <w:tblStyle w:val="Grilledutableau"/>
        <w:tblW w:w="0" w:type="auto"/>
        <w:tblLook w:val="04A0" w:firstRow="1" w:lastRow="0" w:firstColumn="1" w:lastColumn="0" w:noHBand="0" w:noVBand="1"/>
      </w:tblPr>
      <w:tblGrid>
        <w:gridCol w:w="1266"/>
        <w:gridCol w:w="768"/>
        <w:gridCol w:w="766"/>
        <w:gridCol w:w="767"/>
        <w:gridCol w:w="767"/>
        <w:gridCol w:w="766"/>
        <w:gridCol w:w="767"/>
        <w:gridCol w:w="846"/>
        <w:gridCol w:w="816"/>
        <w:gridCol w:w="768"/>
        <w:gridCol w:w="765"/>
      </w:tblGrid>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CDP</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GRI</w:t>
            </w:r>
          </w:p>
        </w:tc>
        <w:tc>
          <w:tcPr>
            <w:tcW w:w="767" w:type="dxa"/>
          </w:tcPr>
          <w:p w:rsidR="0042669B" w:rsidRPr="001B5448" w:rsidRDefault="001A2BF4"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PIE</w:t>
            </w:r>
          </w:p>
        </w:tc>
        <w:tc>
          <w:tcPr>
            <w:tcW w:w="767" w:type="dxa"/>
          </w:tcPr>
          <w:p w:rsidR="0042669B" w:rsidRPr="001B5448" w:rsidRDefault="001A2BF4"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PIS</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FEF</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CEF</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TAILLE</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RENTA</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COT</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EPI</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Observations</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132</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140</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Manquantes</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8</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Moyenne</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5,33</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4,52</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3,18</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4,15</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10,2</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9,67</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12,1</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0,531</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1,97</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77</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Médiane</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6</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2</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2</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4</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10,2</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9,77</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12,2</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0,485</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2</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78,6</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Ecart-type</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2,4</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4,88</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3,62</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3,07</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0,371</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0,432</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0,249</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0,422</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0,974</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10</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Minimum</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9,03</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8,51</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11,6</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-1,32</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0</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44</w:t>
            </w:r>
          </w:p>
        </w:tc>
      </w:tr>
      <w:tr w:rsidR="0042669B" w:rsidTr="0042669B">
        <w:tc>
          <w:tcPr>
            <w:tcW w:w="12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Maximum</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8</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18</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18</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15</w:t>
            </w:r>
          </w:p>
        </w:tc>
        <w:tc>
          <w:tcPr>
            <w:tcW w:w="76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10,8</w:t>
            </w:r>
          </w:p>
        </w:tc>
        <w:tc>
          <w:tcPr>
            <w:tcW w:w="767"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10,5</w:t>
            </w:r>
          </w:p>
        </w:tc>
        <w:tc>
          <w:tcPr>
            <w:tcW w:w="84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12,6</w:t>
            </w:r>
          </w:p>
        </w:tc>
        <w:tc>
          <w:tcPr>
            <w:tcW w:w="816"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1,31</w:t>
            </w:r>
          </w:p>
        </w:tc>
        <w:tc>
          <w:tcPr>
            <w:tcW w:w="768"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4</w:t>
            </w:r>
          </w:p>
        </w:tc>
        <w:tc>
          <w:tcPr>
            <w:tcW w:w="765" w:type="dxa"/>
          </w:tcPr>
          <w:p w:rsidR="0042669B" w:rsidRPr="001B5448" w:rsidRDefault="0042669B" w:rsidP="0042669B">
            <w:pPr>
              <w:spacing w:before="100" w:beforeAutospacing="1" w:after="100" w:afterAutospacing="1"/>
              <w:jc w:val="center"/>
              <w:outlineLvl w:val="0"/>
              <w:rPr>
                <w:rFonts w:ascii="Times New Roman" w:eastAsia="Times New Roman" w:hAnsi="Times New Roman" w:cs="Times New Roman"/>
                <w:bCs/>
                <w:kern w:val="36"/>
                <w:sz w:val="18"/>
                <w:szCs w:val="18"/>
                <w:lang w:eastAsia="fr-FR"/>
              </w:rPr>
            </w:pPr>
            <w:r>
              <w:rPr>
                <w:rFonts w:ascii="Times New Roman" w:eastAsia="Times New Roman" w:hAnsi="Times New Roman" w:cs="Times New Roman"/>
                <w:bCs/>
                <w:kern w:val="36"/>
                <w:sz w:val="18"/>
                <w:szCs w:val="18"/>
                <w:lang w:eastAsia="fr-FR"/>
              </w:rPr>
              <w:t>88,9</w:t>
            </w:r>
          </w:p>
        </w:tc>
      </w:tr>
    </w:tbl>
    <w:p w:rsidR="0042669B" w:rsidRPr="00E05A88" w:rsidRDefault="0042669B" w:rsidP="00E05A88">
      <w:pPr>
        <w:spacing w:before="100" w:beforeAutospacing="1" w:after="100" w:afterAutospacing="1" w:line="240" w:lineRule="auto"/>
        <w:jc w:val="both"/>
        <w:outlineLvl w:val="0"/>
        <w:rPr>
          <w:rFonts w:ascii="Times New Roman" w:eastAsia="Times New Roman" w:hAnsi="Times New Roman" w:cs="Times New Roman"/>
          <w:sz w:val="20"/>
          <w:szCs w:val="20"/>
          <w:lang w:eastAsia="fr-FR"/>
        </w:rPr>
      </w:pPr>
      <w:r>
        <w:rPr>
          <w:rFonts w:ascii="Times New Roman" w:eastAsia="Times New Roman" w:hAnsi="Times New Roman" w:cs="Times New Roman"/>
          <w:b/>
          <w:sz w:val="20"/>
          <w:szCs w:val="20"/>
          <w:lang w:eastAsia="fr-FR"/>
        </w:rPr>
        <w:t xml:space="preserve">Données 2017-2020 </w:t>
      </w:r>
      <w:r>
        <w:rPr>
          <w:rFonts w:ascii="Times New Roman" w:eastAsia="Times New Roman" w:hAnsi="Times New Roman" w:cs="Times New Roman"/>
          <w:sz w:val="20"/>
          <w:szCs w:val="20"/>
          <w:lang w:eastAsia="fr-FR"/>
        </w:rPr>
        <w:t xml:space="preserve">: </w:t>
      </w:r>
      <w:r w:rsidRPr="004F4428">
        <w:rPr>
          <w:rFonts w:ascii="Times New Roman" w:eastAsia="Times New Roman" w:hAnsi="Times New Roman" w:cs="Times New Roman"/>
          <w:i/>
          <w:sz w:val="20"/>
          <w:szCs w:val="20"/>
          <w:lang w:eastAsia="fr-FR"/>
        </w:rPr>
        <w:t>CDP</w:t>
      </w:r>
      <w:r>
        <w:rPr>
          <w:rFonts w:ascii="Times New Roman" w:eastAsia="Times New Roman" w:hAnsi="Times New Roman" w:cs="Times New Roman"/>
          <w:sz w:val="20"/>
          <w:szCs w:val="20"/>
          <w:lang w:eastAsia="fr-FR"/>
        </w:rPr>
        <w:t xml:space="preserve"> : score </w:t>
      </w:r>
      <w:proofErr w:type="spellStart"/>
      <w:r>
        <w:rPr>
          <w:rFonts w:ascii="Times New Roman" w:eastAsia="Times New Roman" w:hAnsi="Times New Roman" w:cs="Times New Roman"/>
          <w:sz w:val="20"/>
          <w:szCs w:val="20"/>
          <w:lang w:eastAsia="fr-FR"/>
        </w:rPr>
        <w:t>Carbon</w:t>
      </w:r>
      <w:proofErr w:type="spellEnd"/>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Disclosure</w:t>
      </w:r>
      <w:proofErr w:type="spellEnd"/>
      <w:r>
        <w:rPr>
          <w:rFonts w:ascii="Times New Roman" w:eastAsia="Times New Roman" w:hAnsi="Times New Roman" w:cs="Times New Roman"/>
          <w:sz w:val="20"/>
          <w:szCs w:val="20"/>
          <w:lang w:eastAsia="fr-FR"/>
        </w:rPr>
        <w:t xml:space="preserve"> (/8) Project, qualité de la DVI environnementale ; </w:t>
      </w:r>
      <w:r w:rsidRPr="004F4428">
        <w:rPr>
          <w:rFonts w:ascii="Times New Roman" w:eastAsia="Times New Roman" w:hAnsi="Times New Roman" w:cs="Times New Roman"/>
          <w:i/>
          <w:sz w:val="20"/>
          <w:szCs w:val="20"/>
          <w:lang w:eastAsia="fr-FR"/>
        </w:rPr>
        <w:t>GRI</w:t>
      </w:r>
      <w:r>
        <w:rPr>
          <w:rFonts w:ascii="Times New Roman" w:eastAsia="Times New Roman" w:hAnsi="Times New Roman" w:cs="Times New Roman"/>
          <w:sz w:val="20"/>
          <w:szCs w:val="20"/>
          <w:lang w:eastAsia="fr-FR"/>
        </w:rPr>
        <w:t xml:space="preserve"> : score Global </w:t>
      </w:r>
      <w:proofErr w:type="spellStart"/>
      <w:r>
        <w:rPr>
          <w:rFonts w:ascii="Times New Roman" w:eastAsia="Times New Roman" w:hAnsi="Times New Roman" w:cs="Times New Roman"/>
          <w:sz w:val="20"/>
          <w:szCs w:val="20"/>
          <w:lang w:eastAsia="fr-FR"/>
        </w:rPr>
        <w:t>Reporting</w:t>
      </w:r>
      <w:proofErr w:type="spellEnd"/>
      <w:r>
        <w:rPr>
          <w:rFonts w:ascii="Times New Roman" w:eastAsia="Times New Roman" w:hAnsi="Times New Roman" w:cs="Times New Roman"/>
          <w:sz w:val="20"/>
          <w:szCs w:val="20"/>
          <w:lang w:eastAsia="fr-FR"/>
        </w:rPr>
        <w:t xml:space="preserve"> Initiative (/20), qualité de la DVI sociétale ; </w:t>
      </w:r>
      <w:r w:rsidR="001A2BF4">
        <w:rPr>
          <w:rFonts w:ascii="Times New Roman" w:eastAsia="Times New Roman" w:hAnsi="Times New Roman" w:cs="Times New Roman"/>
          <w:i/>
          <w:sz w:val="20"/>
          <w:szCs w:val="20"/>
          <w:lang w:eastAsia="fr-FR"/>
        </w:rPr>
        <w:t>PIE</w:t>
      </w:r>
      <w:r w:rsidR="001A2BF4">
        <w:rPr>
          <w:rFonts w:ascii="Times New Roman" w:eastAsia="Times New Roman" w:hAnsi="Times New Roman" w:cs="Times New Roman"/>
          <w:sz w:val="20"/>
          <w:szCs w:val="20"/>
          <w:lang w:eastAsia="fr-FR"/>
        </w:rPr>
        <w:t xml:space="preserve"> : politiques d’investissement </w:t>
      </w:r>
      <w:r w:rsidR="001A2BF4">
        <w:rPr>
          <w:rFonts w:ascii="Times New Roman" w:eastAsia="Times New Roman" w:hAnsi="Times New Roman" w:cs="Times New Roman"/>
          <w:sz w:val="20"/>
          <w:szCs w:val="20"/>
          <w:lang w:eastAsia="fr-FR"/>
        </w:rPr>
        <w:lastRenderedPageBreak/>
        <w:t>environnementales</w:t>
      </w:r>
      <w:r>
        <w:rPr>
          <w:rFonts w:ascii="Times New Roman" w:eastAsia="Times New Roman" w:hAnsi="Times New Roman" w:cs="Times New Roman"/>
          <w:sz w:val="20"/>
          <w:szCs w:val="20"/>
          <w:lang w:eastAsia="fr-FR"/>
        </w:rPr>
        <w:t xml:space="preserve">, volume de la DVI environnementale ; </w:t>
      </w:r>
      <w:r w:rsidR="001A2BF4">
        <w:rPr>
          <w:rFonts w:ascii="Times New Roman" w:eastAsia="Times New Roman" w:hAnsi="Times New Roman" w:cs="Times New Roman"/>
          <w:i/>
          <w:sz w:val="20"/>
          <w:szCs w:val="20"/>
          <w:lang w:eastAsia="fr-FR"/>
        </w:rPr>
        <w:t>PIS</w:t>
      </w:r>
      <w:r>
        <w:rPr>
          <w:rFonts w:ascii="Times New Roman" w:eastAsia="Times New Roman" w:hAnsi="Times New Roman" w:cs="Times New Roman"/>
          <w:sz w:val="20"/>
          <w:szCs w:val="20"/>
          <w:lang w:eastAsia="fr-FR"/>
        </w:rPr>
        <w:t> :</w:t>
      </w:r>
      <w:r w:rsidR="001A2BF4">
        <w:rPr>
          <w:rFonts w:ascii="Times New Roman" w:eastAsia="Times New Roman" w:hAnsi="Times New Roman" w:cs="Times New Roman"/>
          <w:sz w:val="20"/>
          <w:szCs w:val="20"/>
          <w:lang w:eastAsia="fr-FR"/>
        </w:rPr>
        <w:t xml:space="preserve"> politiques d’investissement sociétales</w:t>
      </w:r>
      <w:r>
        <w:rPr>
          <w:rFonts w:ascii="Times New Roman" w:eastAsia="Times New Roman" w:hAnsi="Times New Roman" w:cs="Times New Roman"/>
          <w:sz w:val="20"/>
          <w:szCs w:val="20"/>
          <w:lang w:eastAsia="fr-FR"/>
        </w:rPr>
        <w:t xml:space="preserve">, volume de la DVI sociétale. </w:t>
      </w:r>
      <w:r w:rsidRPr="00040F24">
        <w:rPr>
          <w:rFonts w:ascii="Times New Roman" w:eastAsia="Times New Roman" w:hAnsi="Times New Roman" w:cs="Times New Roman"/>
          <w:b/>
          <w:sz w:val="20"/>
          <w:szCs w:val="20"/>
          <w:lang w:eastAsia="fr-FR"/>
        </w:rPr>
        <w:t>Données 2016-2019</w:t>
      </w:r>
      <w:r>
        <w:rPr>
          <w:rFonts w:ascii="Times New Roman" w:eastAsia="Times New Roman" w:hAnsi="Times New Roman" w:cs="Times New Roman"/>
          <w:sz w:val="20"/>
          <w:szCs w:val="20"/>
          <w:lang w:eastAsia="fr-FR"/>
        </w:rPr>
        <w:t xml:space="preserve"> : </w:t>
      </w:r>
      <w:r w:rsidRPr="004F4428">
        <w:rPr>
          <w:rFonts w:ascii="Times New Roman" w:eastAsia="Times New Roman" w:hAnsi="Times New Roman" w:cs="Times New Roman"/>
          <w:i/>
          <w:sz w:val="20"/>
          <w:szCs w:val="20"/>
          <w:lang w:eastAsia="fr-FR"/>
        </w:rPr>
        <w:t>FEF</w:t>
      </w:r>
      <w:r>
        <w:rPr>
          <w:rFonts w:ascii="Times New Roman" w:eastAsia="Times New Roman" w:hAnsi="Times New Roman" w:cs="Times New Roman"/>
          <w:sz w:val="20"/>
          <w:szCs w:val="20"/>
          <w:lang w:eastAsia="fr-FR"/>
        </w:rPr>
        <w:t xml:space="preserve"> : Log du financement annuel aux entreprises des filières fossiles (2100 entreprises), performance environnementale ; </w:t>
      </w:r>
      <w:r w:rsidRPr="004F4428">
        <w:rPr>
          <w:rFonts w:ascii="Times New Roman" w:eastAsia="Times New Roman" w:hAnsi="Times New Roman" w:cs="Times New Roman"/>
          <w:i/>
          <w:sz w:val="20"/>
          <w:szCs w:val="20"/>
          <w:lang w:eastAsia="fr-FR"/>
        </w:rPr>
        <w:t>CEF</w:t>
      </w:r>
      <w:r>
        <w:rPr>
          <w:rFonts w:ascii="Times New Roman" w:eastAsia="Times New Roman" w:hAnsi="Times New Roman" w:cs="Times New Roman"/>
          <w:sz w:val="20"/>
          <w:szCs w:val="20"/>
          <w:lang w:eastAsia="fr-FR"/>
        </w:rPr>
        <w:t xml:space="preserve"> : Log du financement annuel aux entreprises (100 firmes) ayant des projets de développement dans les filières fossiles, performance environnementale ; </w:t>
      </w:r>
      <w:r w:rsidRPr="004F4428">
        <w:rPr>
          <w:rFonts w:ascii="Times New Roman" w:eastAsia="Times New Roman" w:hAnsi="Times New Roman" w:cs="Times New Roman"/>
          <w:i/>
          <w:sz w:val="20"/>
          <w:szCs w:val="20"/>
          <w:lang w:eastAsia="fr-FR"/>
        </w:rPr>
        <w:t>TAILLE</w:t>
      </w:r>
      <w:r>
        <w:rPr>
          <w:rFonts w:ascii="Times New Roman" w:eastAsia="Times New Roman" w:hAnsi="Times New Roman" w:cs="Times New Roman"/>
          <w:sz w:val="20"/>
          <w:szCs w:val="20"/>
          <w:lang w:eastAsia="fr-FR"/>
        </w:rPr>
        <w:t xml:space="preserve"> : Log du total des actifs de la banque ; </w:t>
      </w:r>
      <w:r w:rsidRPr="004F4428">
        <w:rPr>
          <w:rFonts w:ascii="Times New Roman" w:eastAsia="Times New Roman" w:hAnsi="Times New Roman" w:cs="Times New Roman"/>
          <w:i/>
          <w:sz w:val="20"/>
          <w:szCs w:val="20"/>
          <w:lang w:eastAsia="fr-FR"/>
        </w:rPr>
        <w:t>RENTA</w:t>
      </w:r>
      <w:r>
        <w:rPr>
          <w:rFonts w:ascii="Times New Roman" w:eastAsia="Times New Roman" w:hAnsi="Times New Roman" w:cs="Times New Roman"/>
          <w:sz w:val="20"/>
          <w:szCs w:val="20"/>
          <w:lang w:eastAsia="fr-FR"/>
        </w:rPr>
        <w:t xml:space="preserve"> : Return On </w:t>
      </w:r>
      <w:proofErr w:type="spellStart"/>
      <w:r>
        <w:rPr>
          <w:rFonts w:ascii="Times New Roman" w:eastAsia="Times New Roman" w:hAnsi="Times New Roman" w:cs="Times New Roman"/>
          <w:sz w:val="20"/>
          <w:szCs w:val="20"/>
          <w:lang w:eastAsia="fr-FR"/>
        </w:rPr>
        <w:t>Assets</w:t>
      </w:r>
      <w:proofErr w:type="spellEnd"/>
      <w:r>
        <w:rPr>
          <w:rFonts w:ascii="Times New Roman" w:eastAsia="Times New Roman" w:hAnsi="Times New Roman" w:cs="Times New Roman"/>
          <w:sz w:val="20"/>
          <w:szCs w:val="20"/>
          <w:lang w:eastAsia="fr-FR"/>
        </w:rPr>
        <w:t xml:space="preserve"> (ROA) de la banque, en % ; </w:t>
      </w:r>
      <w:r w:rsidRPr="004F4428">
        <w:rPr>
          <w:rFonts w:ascii="Times New Roman" w:eastAsia="Times New Roman" w:hAnsi="Times New Roman" w:cs="Times New Roman"/>
          <w:i/>
          <w:sz w:val="20"/>
          <w:szCs w:val="20"/>
          <w:lang w:eastAsia="fr-FR"/>
        </w:rPr>
        <w:t>COT</w:t>
      </w:r>
      <w:r>
        <w:rPr>
          <w:rFonts w:ascii="Times New Roman" w:eastAsia="Times New Roman" w:hAnsi="Times New Roman" w:cs="Times New Roman"/>
          <w:sz w:val="20"/>
          <w:szCs w:val="20"/>
          <w:lang w:eastAsia="fr-FR"/>
        </w:rPr>
        <w:t xml:space="preserve"> : nombre de places boursières sur lesquelles la banque est cotée (valeur fixe sur la période 2016-2019) ; </w:t>
      </w:r>
      <w:r w:rsidRPr="00A6026B">
        <w:rPr>
          <w:rFonts w:ascii="Times New Roman" w:eastAsia="Times New Roman" w:hAnsi="Times New Roman" w:cs="Times New Roman"/>
          <w:i/>
          <w:sz w:val="20"/>
          <w:szCs w:val="20"/>
          <w:lang w:eastAsia="fr-FR"/>
        </w:rPr>
        <w:t>EPI</w:t>
      </w:r>
      <w:r>
        <w:rPr>
          <w:rFonts w:ascii="Times New Roman" w:eastAsia="Times New Roman" w:hAnsi="Times New Roman" w:cs="Times New Roman"/>
          <w:sz w:val="20"/>
          <w:szCs w:val="20"/>
          <w:lang w:eastAsia="fr-FR"/>
        </w:rPr>
        <w:t> : indice de performance environnementale du pays d’origine de la banque (/100).</w:t>
      </w:r>
    </w:p>
    <w:p w:rsidR="00EB3251" w:rsidRPr="00255584" w:rsidRDefault="00E05A88" w:rsidP="00EB3251">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Pr>
          <w:rFonts w:ascii="Times New Roman" w:eastAsia="Times New Roman" w:hAnsi="Times New Roman" w:cs="Times New Roman"/>
          <w:b/>
          <w:bCs/>
          <w:kern w:val="36"/>
          <w:sz w:val="24"/>
          <w:szCs w:val="24"/>
          <w:lang w:eastAsia="fr-FR"/>
        </w:rPr>
        <w:t>4.2</w:t>
      </w:r>
      <w:r w:rsidR="00255584" w:rsidRPr="00255584">
        <w:rPr>
          <w:rFonts w:ascii="Times New Roman" w:eastAsia="Times New Roman" w:hAnsi="Times New Roman" w:cs="Times New Roman"/>
          <w:b/>
          <w:bCs/>
          <w:kern w:val="36"/>
          <w:sz w:val="24"/>
          <w:szCs w:val="24"/>
          <w:lang w:eastAsia="fr-FR"/>
        </w:rPr>
        <w:t xml:space="preserve"> </w:t>
      </w:r>
      <w:r w:rsidR="00EB3251" w:rsidRPr="00255584">
        <w:rPr>
          <w:rFonts w:ascii="Times New Roman" w:eastAsia="Times New Roman" w:hAnsi="Times New Roman" w:cs="Times New Roman"/>
          <w:b/>
          <w:bCs/>
          <w:kern w:val="36"/>
          <w:sz w:val="24"/>
          <w:szCs w:val="24"/>
          <w:lang w:eastAsia="fr-FR"/>
        </w:rPr>
        <w:t>Analyse multivariée</w:t>
      </w:r>
    </w:p>
    <w:p w:rsidR="00EB3251" w:rsidRDefault="00EB3251"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sidRPr="001845C0">
        <w:rPr>
          <w:rFonts w:ascii="Times New Roman" w:eastAsia="Times New Roman" w:hAnsi="Times New Roman" w:cs="Times New Roman"/>
          <w:bCs/>
          <w:kern w:val="36"/>
          <w:sz w:val="24"/>
          <w:szCs w:val="24"/>
          <w:lang w:eastAsia="fr-FR"/>
        </w:rPr>
        <w:t>Pour te</w:t>
      </w:r>
      <w:r>
        <w:rPr>
          <w:rFonts w:ascii="Times New Roman" w:eastAsia="Times New Roman" w:hAnsi="Times New Roman" w:cs="Times New Roman"/>
          <w:bCs/>
          <w:kern w:val="36"/>
          <w:sz w:val="24"/>
          <w:szCs w:val="24"/>
          <w:lang w:eastAsia="fr-FR"/>
        </w:rPr>
        <w:t>ster l’hypothèse de légitimité</w:t>
      </w:r>
      <w:r w:rsidRPr="001845C0">
        <w:rPr>
          <w:rFonts w:ascii="Times New Roman" w:eastAsia="Times New Roman" w:hAnsi="Times New Roman" w:cs="Times New Roman"/>
          <w:bCs/>
          <w:kern w:val="36"/>
          <w:sz w:val="24"/>
          <w:szCs w:val="24"/>
          <w:lang w:eastAsia="fr-FR"/>
        </w:rPr>
        <w:t xml:space="preserve"> et l’impact des </w:t>
      </w:r>
      <w:r>
        <w:rPr>
          <w:rFonts w:ascii="Times New Roman" w:eastAsia="Times New Roman" w:hAnsi="Times New Roman" w:cs="Times New Roman"/>
          <w:bCs/>
          <w:kern w:val="36"/>
          <w:sz w:val="24"/>
          <w:szCs w:val="24"/>
          <w:lang w:eastAsia="fr-FR"/>
        </w:rPr>
        <w:t xml:space="preserve">autres </w:t>
      </w:r>
      <w:r w:rsidRPr="001845C0">
        <w:rPr>
          <w:rFonts w:ascii="Times New Roman" w:eastAsia="Times New Roman" w:hAnsi="Times New Roman" w:cs="Times New Roman"/>
          <w:bCs/>
          <w:kern w:val="36"/>
          <w:sz w:val="24"/>
          <w:szCs w:val="24"/>
          <w:lang w:eastAsia="fr-FR"/>
        </w:rPr>
        <w:t>détermi</w:t>
      </w:r>
      <w:r>
        <w:rPr>
          <w:rFonts w:ascii="Times New Roman" w:eastAsia="Times New Roman" w:hAnsi="Times New Roman" w:cs="Times New Roman"/>
          <w:bCs/>
          <w:kern w:val="36"/>
          <w:sz w:val="24"/>
          <w:szCs w:val="24"/>
          <w:lang w:eastAsia="fr-FR"/>
        </w:rPr>
        <w:t>nants de la DVI</w:t>
      </w:r>
      <w:r w:rsidRPr="001845C0">
        <w:rPr>
          <w:rFonts w:ascii="Times New Roman" w:eastAsia="Times New Roman" w:hAnsi="Times New Roman" w:cs="Times New Roman"/>
          <w:bCs/>
          <w:kern w:val="36"/>
          <w:sz w:val="24"/>
          <w:szCs w:val="24"/>
          <w:lang w:eastAsia="fr-FR"/>
        </w:rPr>
        <w:t xml:space="preserve">, le modèle de régression </w:t>
      </w:r>
      <w:r>
        <w:rPr>
          <w:rFonts w:ascii="Times New Roman" w:eastAsia="Times New Roman" w:hAnsi="Times New Roman" w:cs="Times New Roman"/>
          <w:bCs/>
          <w:kern w:val="36"/>
          <w:sz w:val="24"/>
          <w:szCs w:val="24"/>
          <w:lang w:eastAsia="fr-FR"/>
        </w:rPr>
        <w:t xml:space="preserve">sur données de panel </w:t>
      </w:r>
      <w:r w:rsidRPr="001845C0">
        <w:rPr>
          <w:rFonts w:ascii="Times New Roman" w:eastAsia="Times New Roman" w:hAnsi="Times New Roman" w:cs="Times New Roman"/>
          <w:bCs/>
          <w:kern w:val="36"/>
          <w:sz w:val="24"/>
          <w:szCs w:val="24"/>
          <w:lang w:eastAsia="fr-FR"/>
        </w:rPr>
        <w:t>ci-dessous a été construit</w:t>
      </w:r>
      <w:r>
        <w:rPr>
          <w:rFonts w:ascii="Times New Roman" w:eastAsia="Times New Roman" w:hAnsi="Times New Roman" w:cs="Times New Roman"/>
          <w:bCs/>
          <w:kern w:val="36"/>
          <w:sz w:val="24"/>
          <w:szCs w:val="24"/>
          <w:lang w:eastAsia="fr-FR"/>
        </w:rPr>
        <w:t> :</w:t>
      </w:r>
    </w:p>
    <w:p w:rsidR="00EB3251" w:rsidRPr="007B3BD1" w:rsidRDefault="003C400A" w:rsidP="00EB3251">
      <w:pPr>
        <w:spacing w:before="100" w:beforeAutospacing="1" w:after="100" w:afterAutospacing="1" w:line="480" w:lineRule="auto"/>
        <w:jc w:val="both"/>
        <w:outlineLvl w:val="0"/>
        <w:rPr>
          <w:rFonts w:ascii="Times New Roman" w:eastAsia="Times New Roman" w:hAnsi="Times New Roman" w:cs="Times New Roman"/>
          <w:bCs/>
          <w:kern w:val="36"/>
          <w:sz w:val="18"/>
          <w:szCs w:val="18"/>
          <w:lang w:eastAsia="fr-FR"/>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DVI</m:t>
              </m:r>
            </m:e>
            <m:sub>
              <m:r>
                <w:rPr>
                  <w:rFonts w:ascii="Cambria Math" w:eastAsia="Calibri" w:hAnsi="Cambria Math" w:cs="Times New Roman"/>
                  <w:sz w:val="18"/>
                  <w:szCs w:val="18"/>
                </w:rPr>
                <m:t>i,t</m:t>
              </m:r>
            </m:sub>
          </m:sSub>
          <m:r>
            <w:rPr>
              <w:rFonts w:ascii="Cambria Math" w:eastAsia="Calibri" w:hAnsi="Cambria Math" w:cs="Times New Roman"/>
              <w:sz w:val="18"/>
              <w:szCs w:val="18"/>
            </w:rPr>
            <m:t>=</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α</m:t>
              </m:r>
            </m:e>
            <m:sub>
              <m:r>
                <w:rPr>
                  <w:rFonts w:ascii="Cambria Math" w:eastAsia="Calibri" w:hAnsi="Cambria Math" w:cs="Times New Roman"/>
                  <w:sz w:val="18"/>
                  <w:szCs w:val="18"/>
                </w:rPr>
                <m:t>0</m:t>
              </m:r>
            </m:sub>
          </m:sSub>
          <m:r>
            <w:rPr>
              <w:rFonts w:ascii="Cambria Math" w:eastAsia="Calibri" w:hAnsi="Cambria Math" w:cs="Times New Roman"/>
              <w:sz w:val="18"/>
              <w:szCs w:val="18"/>
            </w:rPr>
            <m:t xml:space="preserve">+ </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β</m:t>
              </m:r>
            </m:e>
            <m:sub>
              <m:r>
                <w:rPr>
                  <w:rFonts w:ascii="Cambria Math" w:eastAsia="Calibri" w:hAnsi="Cambria Math" w:cs="Times New Roman"/>
                  <w:sz w:val="18"/>
                  <w:szCs w:val="18"/>
                </w:rPr>
                <m:t>0</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FEF</m:t>
              </m:r>
              <m:ctrlPr>
                <w:rPr>
                  <w:rFonts w:ascii="Cambria Math" w:eastAsia="Cambria Math" w:hAnsi="Cambria Math" w:cs="Times New Roman"/>
                  <w:i/>
                  <w:sz w:val="18"/>
                  <w:szCs w:val="18"/>
                </w:rPr>
              </m:ctrlPr>
            </m:e>
            <m:sub>
              <m:r>
                <w:rPr>
                  <w:rFonts w:ascii="Cambria Math" w:eastAsia="Calibri" w:hAnsi="Cambria Math" w:cs="Times New Roman"/>
                  <w:sz w:val="18"/>
                  <w:szCs w:val="18"/>
                </w:rPr>
                <m:t>i,t-1</m:t>
              </m:r>
            </m:sub>
          </m:sSub>
          <m:r>
            <w:rPr>
              <w:rFonts w:ascii="Cambria Math" w:eastAsia="Calibri" w:hAnsi="Cambria Math" w:cs="Times New Roman"/>
              <w:sz w:val="18"/>
              <w:szCs w:val="18"/>
            </w:rPr>
            <m:t>+</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β</m:t>
              </m:r>
            </m:e>
            <m:sub>
              <m:r>
                <w:rPr>
                  <w:rFonts w:ascii="Cambria Math" w:eastAsia="Calibri" w:hAnsi="Cambria Math" w:cs="Times New Roman"/>
                  <w:sz w:val="18"/>
                  <w:szCs w:val="18"/>
                </w:rPr>
                <m:t>1</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CEF</m:t>
              </m:r>
              <m:ctrlPr>
                <w:rPr>
                  <w:rFonts w:ascii="Cambria Math" w:eastAsia="Cambria Math" w:hAnsi="Cambria Math" w:cs="Times New Roman"/>
                  <w:i/>
                  <w:sz w:val="18"/>
                  <w:szCs w:val="18"/>
                </w:rPr>
              </m:ctrlPr>
            </m:e>
            <m:sub>
              <m:r>
                <w:rPr>
                  <w:rFonts w:ascii="Cambria Math" w:eastAsia="Calibri" w:hAnsi="Cambria Math" w:cs="Times New Roman"/>
                  <w:sz w:val="18"/>
                  <w:szCs w:val="18"/>
                </w:rPr>
                <m:t>i,t-1</m:t>
              </m:r>
            </m:sub>
          </m:sSub>
          <m:r>
            <w:rPr>
              <w:rFonts w:ascii="Cambria Math" w:eastAsia="Calibri" w:hAnsi="Cambria Math" w:cs="Times New Roman"/>
              <w:sz w:val="18"/>
              <w:szCs w:val="18"/>
            </w:rPr>
            <m:t>+</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β</m:t>
              </m:r>
            </m:e>
            <m:sub>
              <m:r>
                <w:rPr>
                  <w:rFonts w:ascii="Cambria Math" w:eastAsia="Calibri" w:hAnsi="Cambria Math" w:cs="Times New Roman"/>
                  <w:sz w:val="18"/>
                  <w:szCs w:val="18"/>
                </w:rPr>
                <m:t>2</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EPI</m:t>
              </m:r>
              <m:ctrlPr>
                <w:rPr>
                  <w:rFonts w:ascii="Cambria Math" w:eastAsia="Cambria Math" w:hAnsi="Cambria Math" w:cs="Times New Roman"/>
                  <w:i/>
                  <w:sz w:val="18"/>
                  <w:szCs w:val="18"/>
                </w:rPr>
              </m:ctrlPr>
            </m:e>
            <m:sub>
              <m:r>
                <w:rPr>
                  <w:rFonts w:ascii="Cambria Math" w:eastAsia="Calibri" w:hAnsi="Cambria Math" w:cs="Times New Roman"/>
                  <w:sz w:val="18"/>
                  <w:szCs w:val="18"/>
                </w:rPr>
                <m:t>i,t-1</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 xml:space="preserve"> + β</m:t>
              </m:r>
              <m:ctrlPr>
                <w:rPr>
                  <w:rFonts w:ascii="Cambria Math" w:eastAsia="Cambria Math" w:hAnsi="Cambria Math" w:cs="Times New Roman"/>
                  <w:i/>
                  <w:sz w:val="18"/>
                  <w:szCs w:val="18"/>
                </w:rPr>
              </m:ctrlPr>
            </m:e>
            <m:sub>
              <m:r>
                <w:rPr>
                  <w:rFonts w:ascii="Cambria Math" w:eastAsia="Calibri" w:hAnsi="Cambria Math" w:cs="Times New Roman"/>
                  <w:sz w:val="18"/>
                  <w:szCs w:val="18"/>
                </w:rPr>
                <m:t>4</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TAILLE</m:t>
              </m:r>
              <m:ctrlPr>
                <w:rPr>
                  <w:rFonts w:ascii="Cambria Math" w:eastAsia="Cambria Math" w:hAnsi="Cambria Math" w:cs="Times New Roman"/>
                  <w:i/>
                  <w:sz w:val="18"/>
                  <w:szCs w:val="18"/>
                </w:rPr>
              </m:ctrlPr>
            </m:e>
            <m:sub>
              <m:r>
                <w:rPr>
                  <w:rFonts w:ascii="Cambria Math" w:eastAsia="Calibri" w:hAnsi="Cambria Math" w:cs="Times New Roman"/>
                  <w:sz w:val="18"/>
                  <w:szCs w:val="18"/>
                </w:rPr>
                <m:t>i,t-1</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 β</m:t>
              </m:r>
              <m:ctrlPr>
                <w:rPr>
                  <w:rFonts w:ascii="Cambria Math" w:eastAsia="Cambria Math" w:hAnsi="Cambria Math" w:cs="Times New Roman"/>
                  <w:i/>
                  <w:sz w:val="18"/>
                  <w:szCs w:val="18"/>
                </w:rPr>
              </m:ctrlPr>
            </m:e>
            <m:sub>
              <m:r>
                <w:rPr>
                  <w:rFonts w:ascii="Cambria Math" w:eastAsia="Calibri" w:hAnsi="Cambria Math" w:cs="Times New Roman"/>
                  <w:sz w:val="18"/>
                  <w:szCs w:val="18"/>
                </w:rPr>
                <m:t>6</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RENTA</m:t>
              </m:r>
              <m:ctrlPr>
                <w:rPr>
                  <w:rFonts w:ascii="Cambria Math" w:eastAsia="Cambria Math" w:hAnsi="Cambria Math" w:cs="Times New Roman"/>
                  <w:i/>
                  <w:sz w:val="18"/>
                  <w:szCs w:val="18"/>
                </w:rPr>
              </m:ctrlPr>
            </m:e>
            <m:sub>
              <m:r>
                <w:rPr>
                  <w:rFonts w:ascii="Cambria Math" w:eastAsia="Calibri" w:hAnsi="Cambria Math" w:cs="Times New Roman"/>
                  <w:sz w:val="18"/>
                  <w:szCs w:val="18"/>
                </w:rPr>
                <m:t>i,t-1</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+β</m:t>
              </m:r>
              <m:ctrlPr>
                <w:rPr>
                  <w:rFonts w:ascii="Cambria Math" w:eastAsia="Cambria Math" w:hAnsi="Cambria Math" w:cs="Times New Roman"/>
                  <w:i/>
                  <w:sz w:val="18"/>
                  <w:szCs w:val="18"/>
                </w:rPr>
              </m:ctrlPr>
            </m:e>
            <m:sub>
              <m:r>
                <w:rPr>
                  <w:rFonts w:ascii="Cambria Math" w:eastAsia="Calibri" w:hAnsi="Cambria Math" w:cs="Times New Roman"/>
                  <w:sz w:val="18"/>
                  <w:szCs w:val="18"/>
                </w:rPr>
                <m:t>7</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COT</m:t>
              </m:r>
              <m:ctrlPr>
                <w:rPr>
                  <w:rFonts w:ascii="Cambria Math" w:eastAsia="Cambria Math" w:hAnsi="Cambria Math" w:cs="Times New Roman"/>
                  <w:i/>
                  <w:sz w:val="18"/>
                  <w:szCs w:val="18"/>
                </w:rPr>
              </m:ctrlPr>
            </m:e>
            <m:sub>
              <m:r>
                <w:rPr>
                  <w:rFonts w:ascii="Cambria Math" w:eastAsia="Calibri" w:hAnsi="Cambria Math" w:cs="Times New Roman"/>
                  <w:sz w:val="18"/>
                  <w:szCs w:val="18"/>
                </w:rPr>
                <m:t>i,t-1</m:t>
              </m:r>
            </m:sub>
          </m:sSub>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+β</m:t>
              </m:r>
              <m:ctrlPr>
                <w:rPr>
                  <w:rFonts w:ascii="Cambria Math" w:eastAsia="Cambria Math" w:hAnsi="Cambria Math" w:cs="Times New Roman"/>
                  <w:i/>
                  <w:sz w:val="18"/>
                  <w:szCs w:val="18"/>
                </w:rPr>
              </m:ctrlPr>
            </m:e>
            <m:sub>
              <m:r>
                <w:rPr>
                  <w:rFonts w:ascii="Cambria Math" w:eastAsia="Calibri" w:hAnsi="Cambria Math" w:cs="Times New Roman"/>
                  <w:sz w:val="18"/>
                  <w:szCs w:val="18"/>
                </w:rPr>
                <m:t>8</m:t>
              </m:r>
            </m:sub>
          </m:sSub>
          <m:r>
            <w:rPr>
              <w:rFonts w:ascii="Cambria Math" w:eastAsia="Calibri" w:hAnsi="Cambria Math" w:cs="Times New Roman"/>
              <w:sz w:val="18"/>
              <w:szCs w:val="18"/>
            </w:rPr>
            <m:t>EUR+</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β</m:t>
              </m:r>
              <m:ctrlPr>
                <w:rPr>
                  <w:rFonts w:ascii="Cambria Math" w:eastAsia="Cambria Math" w:hAnsi="Cambria Math" w:cs="Times New Roman"/>
                  <w:i/>
                  <w:sz w:val="18"/>
                  <w:szCs w:val="18"/>
                </w:rPr>
              </m:ctrlPr>
            </m:e>
            <m:sub>
              <m:r>
                <w:rPr>
                  <w:rFonts w:ascii="Cambria Math" w:eastAsia="Calibri" w:hAnsi="Cambria Math" w:cs="Times New Roman"/>
                  <w:sz w:val="18"/>
                  <w:szCs w:val="18"/>
                </w:rPr>
                <m:t>9</m:t>
              </m:r>
            </m:sub>
          </m:sSub>
          <m:r>
            <w:rPr>
              <w:rFonts w:ascii="Cambria Math" w:eastAsia="Calibri" w:hAnsi="Cambria Math" w:cs="Times New Roman"/>
              <w:sz w:val="18"/>
              <w:szCs w:val="18"/>
            </w:rPr>
            <m:t>ANNEE+</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ε</m:t>
              </m:r>
            </m:e>
            <m:sub>
              <m:r>
                <w:rPr>
                  <w:rFonts w:ascii="Cambria Math" w:eastAsia="Calibri" w:hAnsi="Cambria Math" w:cs="Times New Roman"/>
                  <w:sz w:val="18"/>
                  <w:szCs w:val="18"/>
                </w:rPr>
                <m:t>i,t-1</m:t>
              </m:r>
            </m:sub>
          </m:sSub>
        </m:oMath>
      </m:oMathPara>
    </w:p>
    <w:p w:rsidR="00EB3251" w:rsidRDefault="003C400A"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DVI</m:t>
            </m:r>
          </m:e>
          <m:sub>
            <m:r>
              <w:rPr>
                <w:rFonts w:ascii="Cambria Math" w:eastAsia="Calibri" w:hAnsi="Cambria Math" w:cs="Times New Roman"/>
                <w:sz w:val="24"/>
                <w:szCs w:val="24"/>
              </w:rPr>
              <m:t>i,t</m:t>
            </m:r>
          </m:sub>
        </m:sSub>
      </m:oMath>
      <w:r w:rsidR="00F6008C">
        <w:rPr>
          <w:rFonts w:ascii="Times New Roman" w:eastAsia="Times New Roman" w:hAnsi="Times New Roman" w:cs="Times New Roman"/>
          <w:sz w:val="24"/>
          <w:szCs w:val="24"/>
        </w:rPr>
        <w:t xml:space="preserve"> </w:t>
      </w:r>
      <w:proofErr w:type="gramStart"/>
      <w:r w:rsidR="00F6008C">
        <w:rPr>
          <w:rFonts w:ascii="Times New Roman" w:eastAsia="Times New Roman" w:hAnsi="Times New Roman" w:cs="Times New Roman"/>
          <w:sz w:val="24"/>
          <w:szCs w:val="24"/>
        </w:rPr>
        <w:t>correspond</w:t>
      </w:r>
      <w:proofErr w:type="gramEnd"/>
      <w:r w:rsidR="00F6008C">
        <w:rPr>
          <w:rFonts w:ascii="Times New Roman" w:eastAsia="Times New Roman" w:hAnsi="Times New Roman" w:cs="Times New Roman"/>
          <w:sz w:val="24"/>
          <w:szCs w:val="24"/>
        </w:rPr>
        <w:t xml:space="preserve"> à</w:t>
      </w:r>
      <w:r w:rsidR="00EB3251">
        <w:rPr>
          <w:rFonts w:ascii="Times New Roman" w:eastAsia="Times New Roman" w:hAnsi="Times New Roman" w:cs="Times New Roman"/>
          <w:sz w:val="24"/>
          <w:szCs w:val="24"/>
        </w:rPr>
        <w:t xml:space="preserve"> l’un des indicateurs de divulgation volontaire d’information pour la banque </w:t>
      </w:r>
      <w:r w:rsidR="00EB3251" w:rsidRPr="00F12E42">
        <w:rPr>
          <w:rFonts w:ascii="Times New Roman" w:eastAsia="Times New Roman" w:hAnsi="Times New Roman" w:cs="Times New Roman"/>
          <w:i/>
          <w:sz w:val="24"/>
          <w:szCs w:val="24"/>
        </w:rPr>
        <w:t>(i)</w:t>
      </w:r>
      <w:r w:rsidR="00EB3251" w:rsidRPr="00F12E42">
        <w:rPr>
          <w:rFonts w:ascii="Times New Roman" w:eastAsia="Times New Roman" w:hAnsi="Times New Roman" w:cs="Times New Roman"/>
          <w:sz w:val="24"/>
          <w:szCs w:val="24"/>
        </w:rPr>
        <w:t>,</w:t>
      </w:r>
      <w:r w:rsidR="00EB3251">
        <w:rPr>
          <w:rFonts w:ascii="Times New Roman" w:eastAsia="Times New Roman" w:hAnsi="Times New Roman" w:cs="Times New Roman"/>
          <w:sz w:val="24"/>
          <w:szCs w:val="24"/>
        </w:rPr>
        <w:t xml:space="preserve"> l’année </w:t>
      </w:r>
      <w:r w:rsidR="00EB3251" w:rsidRPr="00F12E42">
        <w:rPr>
          <w:rFonts w:ascii="Times New Roman" w:eastAsia="Times New Roman" w:hAnsi="Times New Roman" w:cs="Times New Roman"/>
          <w:i/>
          <w:sz w:val="24"/>
          <w:szCs w:val="24"/>
        </w:rPr>
        <w:t>(t)</w:t>
      </w:r>
      <w:r w:rsidR="00F2578E">
        <w:rPr>
          <w:rFonts w:ascii="Times New Roman" w:eastAsia="Times New Roman" w:hAnsi="Times New Roman" w:cs="Times New Roman"/>
          <w:sz w:val="24"/>
          <w:szCs w:val="24"/>
        </w:rPr>
        <w:t>, période 2017-2020.</w:t>
      </w:r>
      <w:r w:rsidR="00EB3251">
        <w:rPr>
          <w:rFonts w:ascii="Times New Roman" w:eastAsia="Times New Roman" w:hAnsi="Times New Roman" w:cs="Times New Roman"/>
          <w:sz w:val="24"/>
          <w:szCs w:val="24"/>
        </w:rPr>
        <w:t xml:space="preserve"> </w:t>
      </w:r>
      <w:r w:rsidR="005C092B">
        <w:rPr>
          <w:rFonts w:ascii="Times New Roman" w:eastAsia="Times New Roman" w:hAnsi="Times New Roman" w:cs="Times New Roman"/>
          <w:sz w:val="24"/>
          <w:szCs w:val="24"/>
        </w:rPr>
        <w:t>Toutes les variables explicatives sont « retardées » et donc ca</w:t>
      </w:r>
      <w:r w:rsidR="00F2578E">
        <w:rPr>
          <w:rFonts w:ascii="Times New Roman" w:eastAsia="Times New Roman" w:hAnsi="Times New Roman" w:cs="Times New Roman"/>
          <w:sz w:val="24"/>
          <w:szCs w:val="24"/>
        </w:rPr>
        <w:t xml:space="preserve">lculées pour l’année précédente (période 2016-2019). </w:t>
      </w:r>
      <w:r w:rsidR="00EB3251" w:rsidRPr="001845C0">
        <w:rPr>
          <w:rFonts w:ascii="Times New Roman" w:eastAsia="Times New Roman" w:hAnsi="Times New Roman" w:cs="Times New Roman"/>
          <w:bCs/>
          <w:kern w:val="36"/>
          <w:sz w:val="24"/>
          <w:szCs w:val="24"/>
          <w:lang w:eastAsia="fr-FR"/>
        </w:rPr>
        <w:t>La méthodologie se décom</w:t>
      </w:r>
      <w:r w:rsidR="00F2578E">
        <w:rPr>
          <w:rFonts w:ascii="Times New Roman" w:eastAsia="Times New Roman" w:hAnsi="Times New Roman" w:cs="Times New Roman"/>
          <w:bCs/>
          <w:kern w:val="36"/>
          <w:sz w:val="24"/>
          <w:szCs w:val="24"/>
          <w:lang w:eastAsia="fr-FR"/>
        </w:rPr>
        <w:t xml:space="preserve">pose en </w:t>
      </w:r>
      <w:r w:rsidR="00EB3251">
        <w:rPr>
          <w:rFonts w:ascii="Times New Roman" w:eastAsia="Times New Roman" w:hAnsi="Times New Roman" w:cs="Times New Roman"/>
          <w:bCs/>
          <w:kern w:val="36"/>
          <w:sz w:val="24"/>
          <w:szCs w:val="24"/>
          <w:lang w:eastAsia="fr-FR"/>
        </w:rPr>
        <w:t>plusieurs étapes : 1</w:t>
      </w:r>
      <w:r w:rsidR="00EB3251" w:rsidRPr="001845C0">
        <w:rPr>
          <w:rFonts w:ascii="Times New Roman" w:eastAsia="Times New Roman" w:hAnsi="Times New Roman" w:cs="Times New Roman"/>
          <w:bCs/>
          <w:kern w:val="36"/>
          <w:sz w:val="24"/>
          <w:szCs w:val="24"/>
          <w:lang w:eastAsia="fr-FR"/>
        </w:rPr>
        <w:t xml:space="preserve">/ </w:t>
      </w:r>
      <w:r w:rsidR="00EB3251">
        <w:rPr>
          <w:rFonts w:ascii="Times New Roman" w:eastAsia="Times New Roman" w:hAnsi="Times New Roman" w:cs="Times New Roman"/>
          <w:bCs/>
          <w:kern w:val="36"/>
          <w:sz w:val="24"/>
          <w:szCs w:val="24"/>
          <w:lang w:eastAsia="fr-FR"/>
        </w:rPr>
        <w:t>une méthode de sélection de variables</w:t>
      </w:r>
      <w:r w:rsidR="00EB3251" w:rsidRPr="001845C0">
        <w:rPr>
          <w:rFonts w:ascii="Times New Roman" w:eastAsia="Times New Roman" w:hAnsi="Times New Roman" w:cs="Times New Roman"/>
          <w:bCs/>
          <w:kern w:val="36"/>
          <w:sz w:val="24"/>
          <w:szCs w:val="24"/>
          <w:lang w:eastAsia="fr-FR"/>
        </w:rPr>
        <w:t xml:space="preserve"> permet </w:t>
      </w:r>
      <w:r w:rsidR="00EB3251">
        <w:rPr>
          <w:rFonts w:ascii="Times New Roman" w:eastAsia="Times New Roman" w:hAnsi="Times New Roman" w:cs="Times New Roman"/>
          <w:bCs/>
          <w:kern w:val="36"/>
          <w:sz w:val="24"/>
          <w:szCs w:val="24"/>
          <w:lang w:eastAsia="fr-FR"/>
        </w:rPr>
        <w:t xml:space="preserve">de comparer et </w:t>
      </w:r>
      <w:r w:rsidR="00EB3251" w:rsidRPr="001845C0">
        <w:rPr>
          <w:rFonts w:ascii="Times New Roman" w:eastAsia="Times New Roman" w:hAnsi="Times New Roman" w:cs="Times New Roman"/>
          <w:bCs/>
          <w:kern w:val="36"/>
          <w:sz w:val="24"/>
          <w:szCs w:val="24"/>
          <w:lang w:eastAsia="fr-FR"/>
        </w:rPr>
        <w:t xml:space="preserve">d’optimiser </w:t>
      </w:r>
      <w:r w:rsidR="00EB3251">
        <w:rPr>
          <w:rFonts w:ascii="Times New Roman" w:eastAsia="Times New Roman" w:hAnsi="Times New Roman" w:cs="Times New Roman"/>
          <w:bCs/>
          <w:kern w:val="36"/>
          <w:sz w:val="24"/>
          <w:szCs w:val="24"/>
          <w:lang w:eastAsia="fr-FR"/>
        </w:rPr>
        <w:t>les modèles</w:t>
      </w:r>
      <w:r w:rsidR="00EB3251" w:rsidRPr="001845C0">
        <w:rPr>
          <w:rFonts w:ascii="Times New Roman" w:eastAsia="Times New Roman" w:hAnsi="Times New Roman" w:cs="Times New Roman"/>
          <w:bCs/>
          <w:kern w:val="36"/>
          <w:sz w:val="24"/>
          <w:szCs w:val="24"/>
          <w:lang w:eastAsia="fr-FR"/>
        </w:rPr>
        <w:t xml:space="preserve"> selon trois indicateurs</w:t>
      </w:r>
      <w:r w:rsidR="00EB3251">
        <w:rPr>
          <w:rFonts w:ascii="Times New Roman" w:eastAsia="Times New Roman" w:hAnsi="Times New Roman" w:cs="Times New Roman"/>
          <w:bCs/>
          <w:kern w:val="36"/>
          <w:sz w:val="24"/>
          <w:szCs w:val="24"/>
          <w:lang w:eastAsia="fr-FR"/>
        </w:rPr>
        <w:t xml:space="preserve"> : BIC, R² ajusté et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p</m:t>
            </m:r>
          </m:sub>
        </m:sSub>
      </m:oMath>
      <w:r w:rsidR="00EB3251">
        <w:rPr>
          <w:rFonts w:ascii="Times New Roman" w:eastAsia="Times New Roman" w:hAnsi="Times New Roman" w:cs="Times New Roman"/>
          <w:bCs/>
          <w:kern w:val="36"/>
          <w:sz w:val="24"/>
          <w:szCs w:val="24"/>
          <w:lang w:eastAsia="fr-FR"/>
        </w:rPr>
        <w:t> ; 2</w:t>
      </w:r>
      <w:r w:rsidR="00EB3251" w:rsidRPr="001845C0">
        <w:rPr>
          <w:rFonts w:ascii="Times New Roman" w:eastAsia="Times New Roman" w:hAnsi="Times New Roman" w:cs="Times New Roman"/>
          <w:bCs/>
          <w:kern w:val="36"/>
          <w:sz w:val="24"/>
          <w:szCs w:val="24"/>
          <w:lang w:eastAsia="fr-FR"/>
        </w:rPr>
        <w:t>/</w:t>
      </w:r>
      <w:r w:rsidR="00EB3251">
        <w:rPr>
          <w:rFonts w:ascii="Times New Roman" w:eastAsia="Times New Roman" w:hAnsi="Times New Roman" w:cs="Times New Roman"/>
          <w:bCs/>
          <w:kern w:val="36"/>
          <w:sz w:val="24"/>
          <w:szCs w:val="24"/>
          <w:lang w:eastAsia="fr-FR"/>
        </w:rPr>
        <w:t xml:space="preserve"> une régression </w:t>
      </w:r>
      <w:r w:rsidR="00EB3251" w:rsidRPr="00426D18">
        <w:rPr>
          <w:rFonts w:ascii="Times New Roman" w:eastAsia="Times New Roman" w:hAnsi="Times New Roman" w:cs="Times New Roman"/>
          <w:bCs/>
          <w:i/>
          <w:kern w:val="36"/>
          <w:sz w:val="24"/>
          <w:szCs w:val="24"/>
          <w:lang w:eastAsia="fr-FR"/>
        </w:rPr>
        <w:t>Ridge</w:t>
      </w:r>
      <w:r w:rsidR="00EB3251" w:rsidRPr="001845C0">
        <w:rPr>
          <w:rFonts w:ascii="Times New Roman" w:eastAsia="Times New Roman" w:hAnsi="Times New Roman" w:cs="Times New Roman"/>
          <w:bCs/>
          <w:kern w:val="36"/>
          <w:sz w:val="24"/>
          <w:szCs w:val="24"/>
          <w:lang w:eastAsia="fr-FR"/>
        </w:rPr>
        <w:t xml:space="preserve"> est appliquée</w:t>
      </w:r>
      <w:r w:rsidR="00EB3251">
        <w:rPr>
          <w:rFonts w:ascii="Times New Roman" w:eastAsia="Times New Roman" w:hAnsi="Times New Roman" w:cs="Times New Roman"/>
          <w:bCs/>
          <w:kern w:val="36"/>
          <w:sz w:val="24"/>
          <w:szCs w:val="24"/>
          <w:lang w:eastAsia="fr-FR"/>
        </w:rPr>
        <w:t xml:space="preserve"> pour</w:t>
      </w:r>
      <w:r w:rsidR="00EB3251" w:rsidRPr="001845C0">
        <w:rPr>
          <w:rFonts w:ascii="Times New Roman" w:eastAsia="Times New Roman" w:hAnsi="Times New Roman" w:cs="Times New Roman"/>
          <w:bCs/>
          <w:kern w:val="36"/>
          <w:sz w:val="24"/>
          <w:szCs w:val="24"/>
          <w:lang w:eastAsia="fr-FR"/>
        </w:rPr>
        <w:t xml:space="preserve"> vérifier qu’aucune variable </w:t>
      </w:r>
      <w:r w:rsidR="00EB3251">
        <w:rPr>
          <w:rFonts w:ascii="Times New Roman" w:eastAsia="Times New Roman" w:hAnsi="Times New Roman" w:cs="Times New Roman"/>
          <w:bCs/>
          <w:kern w:val="36"/>
          <w:sz w:val="24"/>
          <w:szCs w:val="24"/>
          <w:lang w:eastAsia="fr-FR"/>
        </w:rPr>
        <w:t xml:space="preserve">explicative </w:t>
      </w:r>
      <w:r w:rsidR="00EB3251" w:rsidRPr="001845C0">
        <w:rPr>
          <w:rFonts w:ascii="Times New Roman" w:eastAsia="Times New Roman" w:hAnsi="Times New Roman" w:cs="Times New Roman"/>
          <w:bCs/>
          <w:kern w:val="36"/>
          <w:sz w:val="24"/>
          <w:szCs w:val="24"/>
          <w:lang w:eastAsia="fr-FR"/>
        </w:rPr>
        <w:t xml:space="preserve">pertinente n’ait été éliminée du modèle pour cause de colinéarité ; </w:t>
      </w:r>
      <w:r w:rsidR="00EB3251">
        <w:rPr>
          <w:rFonts w:ascii="Times New Roman" w:eastAsia="Times New Roman" w:hAnsi="Times New Roman" w:cs="Times New Roman"/>
          <w:bCs/>
          <w:kern w:val="36"/>
          <w:sz w:val="24"/>
          <w:szCs w:val="24"/>
          <w:lang w:eastAsia="fr-FR"/>
        </w:rPr>
        <w:t>3</w:t>
      </w:r>
      <w:r w:rsidR="00EB3251" w:rsidRPr="001845C0">
        <w:rPr>
          <w:rFonts w:ascii="Times New Roman" w:eastAsia="Times New Roman" w:hAnsi="Times New Roman" w:cs="Times New Roman"/>
          <w:bCs/>
          <w:kern w:val="36"/>
          <w:sz w:val="24"/>
          <w:szCs w:val="24"/>
          <w:lang w:eastAsia="fr-FR"/>
        </w:rPr>
        <w:t xml:space="preserve">/ un </w:t>
      </w:r>
      <w:proofErr w:type="spellStart"/>
      <w:r w:rsidR="00EB3251" w:rsidRPr="00426D18">
        <w:rPr>
          <w:rFonts w:ascii="Times New Roman" w:eastAsia="Times New Roman" w:hAnsi="Times New Roman" w:cs="Times New Roman"/>
          <w:bCs/>
          <w:i/>
          <w:kern w:val="36"/>
          <w:sz w:val="24"/>
          <w:szCs w:val="24"/>
          <w:lang w:eastAsia="fr-FR"/>
        </w:rPr>
        <w:t>bootstrap</w:t>
      </w:r>
      <w:proofErr w:type="spellEnd"/>
      <w:r w:rsidR="00EB3251" w:rsidRPr="001845C0">
        <w:rPr>
          <w:rFonts w:ascii="Times New Roman" w:eastAsia="Times New Roman" w:hAnsi="Times New Roman" w:cs="Times New Roman"/>
          <w:bCs/>
          <w:kern w:val="36"/>
          <w:sz w:val="24"/>
          <w:szCs w:val="24"/>
          <w:lang w:eastAsia="fr-FR"/>
        </w:rPr>
        <w:t xml:space="preserve"> de 500 itérations est appliqué aux modèles optimisés</w:t>
      </w:r>
      <w:r w:rsidR="00EB3251" w:rsidRPr="001845C0">
        <w:rPr>
          <w:rStyle w:val="Appelnotedebasdep"/>
          <w:rFonts w:ascii="Times New Roman" w:eastAsia="Times New Roman" w:hAnsi="Times New Roman" w:cs="Times New Roman"/>
          <w:bCs/>
          <w:kern w:val="36"/>
          <w:sz w:val="24"/>
          <w:szCs w:val="24"/>
          <w:lang w:eastAsia="fr-FR"/>
        </w:rPr>
        <w:footnoteReference w:id="13"/>
      </w:r>
      <w:r w:rsidR="001238DD">
        <w:rPr>
          <w:rFonts w:ascii="Times New Roman" w:eastAsia="Times New Roman" w:hAnsi="Times New Roman" w:cs="Times New Roman"/>
          <w:bCs/>
          <w:kern w:val="36"/>
          <w:sz w:val="24"/>
          <w:szCs w:val="24"/>
          <w:lang w:eastAsia="fr-FR"/>
        </w:rPr>
        <w:t xml:space="preserve"> pour compenser le </w:t>
      </w:r>
      <w:r w:rsidR="00737147">
        <w:rPr>
          <w:rFonts w:ascii="Times New Roman" w:eastAsia="Times New Roman" w:hAnsi="Times New Roman" w:cs="Times New Roman"/>
          <w:bCs/>
          <w:kern w:val="36"/>
          <w:sz w:val="24"/>
          <w:szCs w:val="24"/>
          <w:lang w:eastAsia="fr-FR"/>
        </w:rPr>
        <w:t>faible nombre d’observations</w:t>
      </w:r>
      <w:r w:rsidR="00EB3251" w:rsidRPr="001845C0">
        <w:rPr>
          <w:rFonts w:ascii="Times New Roman" w:eastAsia="Times New Roman" w:hAnsi="Times New Roman" w:cs="Times New Roman"/>
          <w:bCs/>
          <w:kern w:val="36"/>
          <w:sz w:val="24"/>
          <w:szCs w:val="24"/>
          <w:lang w:eastAsia="fr-FR"/>
        </w:rPr>
        <w:t>.</w:t>
      </w:r>
    </w:p>
    <w:p w:rsidR="00865091" w:rsidRDefault="00900358" w:rsidP="00EB3251">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 xml:space="preserve">La colinéarité des variables explicatives est vérifiée par le facteur VIF et l’autocorrélation des résidus est contrôlé </w:t>
      </w:r>
      <w:r w:rsidR="0037005E">
        <w:rPr>
          <w:rFonts w:ascii="Times New Roman" w:eastAsia="Times New Roman" w:hAnsi="Times New Roman" w:cs="Times New Roman"/>
          <w:bCs/>
          <w:kern w:val="36"/>
          <w:sz w:val="24"/>
          <w:szCs w:val="24"/>
          <w:lang w:eastAsia="fr-FR"/>
        </w:rPr>
        <w:t xml:space="preserve">par le calcul du test de </w:t>
      </w:r>
      <w:proofErr w:type="spellStart"/>
      <w:r w:rsidR="0037005E">
        <w:rPr>
          <w:rFonts w:ascii="Times New Roman" w:eastAsia="Times New Roman" w:hAnsi="Times New Roman" w:cs="Times New Roman"/>
          <w:bCs/>
          <w:kern w:val="36"/>
          <w:sz w:val="24"/>
          <w:szCs w:val="24"/>
          <w:lang w:eastAsia="fr-FR"/>
        </w:rPr>
        <w:t>Durbin</w:t>
      </w:r>
      <w:proofErr w:type="spellEnd"/>
      <w:r w:rsidR="0037005E">
        <w:rPr>
          <w:rFonts w:ascii="Times New Roman" w:eastAsia="Times New Roman" w:hAnsi="Times New Roman" w:cs="Times New Roman"/>
          <w:bCs/>
          <w:kern w:val="36"/>
          <w:sz w:val="24"/>
          <w:szCs w:val="24"/>
          <w:lang w:eastAsia="fr-FR"/>
        </w:rPr>
        <w:t>-</w:t>
      </w:r>
      <w:r>
        <w:rPr>
          <w:rFonts w:ascii="Times New Roman" w:eastAsia="Times New Roman" w:hAnsi="Times New Roman" w:cs="Times New Roman"/>
          <w:bCs/>
          <w:kern w:val="36"/>
          <w:sz w:val="24"/>
          <w:szCs w:val="24"/>
          <w:lang w:eastAsia="fr-FR"/>
        </w:rPr>
        <w:t>Watson</w:t>
      </w:r>
      <w:r w:rsidR="00D73AE5">
        <w:rPr>
          <w:rStyle w:val="Appelnotedebasdep"/>
          <w:rFonts w:ascii="Times New Roman" w:eastAsia="Times New Roman" w:hAnsi="Times New Roman" w:cs="Times New Roman"/>
          <w:bCs/>
          <w:kern w:val="36"/>
          <w:sz w:val="24"/>
          <w:szCs w:val="24"/>
          <w:lang w:eastAsia="fr-FR"/>
        </w:rPr>
        <w:footnoteReference w:id="14"/>
      </w:r>
      <w:r w:rsidR="00D73AE5">
        <w:rPr>
          <w:rFonts w:ascii="Times New Roman" w:eastAsia="Times New Roman" w:hAnsi="Times New Roman" w:cs="Times New Roman"/>
          <w:bCs/>
          <w:kern w:val="36"/>
          <w:sz w:val="24"/>
          <w:szCs w:val="24"/>
          <w:lang w:eastAsia="fr-FR"/>
        </w:rPr>
        <w:t xml:space="preserve">. Pour chaque indicateur de DVI, les résultats sont présentés pour l’échantillon global mais aussi pour des sous-échantillons </w:t>
      </w:r>
      <w:r w:rsidR="00D73AE5">
        <w:rPr>
          <w:rFonts w:ascii="Times New Roman" w:eastAsia="Times New Roman" w:hAnsi="Times New Roman" w:cs="Times New Roman"/>
          <w:bCs/>
          <w:kern w:val="36"/>
          <w:sz w:val="24"/>
          <w:szCs w:val="24"/>
          <w:lang w:eastAsia="fr-FR"/>
        </w:rPr>
        <w:lastRenderedPageBreak/>
        <w:t>distinguant les banques selon leur o</w:t>
      </w:r>
      <w:r w:rsidR="00BB1111">
        <w:rPr>
          <w:rFonts w:ascii="Times New Roman" w:eastAsia="Times New Roman" w:hAnsi="Times New Roman" w:cs="Times New Roman"/>
          <w:bCs/>
          <w:kern w:val="36"/>
          <w:sz w:val="24"/>
          <w:szCs w:val="24"/>
          <w:lang w:eastAsia="fr-FR"/>
        </w:rPr>
        <w:t>rigine géographique (UE/</w:t>
      </w:r>
      <w:proofErr w:type="spellStart"/>
      <w:r w:rsidR="00BB1111">
        <w:rPr>
          <w:rFonts w:ascii="Times New Roman" w:eastAsia="Times New Roman" w:hAnsi="Times New Roman" w:cs="Times New Roman"/>
          <w:bCs/>
          <w:kern w:val="36"/>
          <w:sz w:val="24"/>
          <w:szCs w:val="24"/>
          <w:lang w:eastAsia="fr-FR"/>
        </w:rPr>
        <w:t>HorsUE</w:t>
      </w:r>
      <w:proofErr w:type="spellEnd"/>
      <w:r w:rsidR="00BB1111">
        <w:rPr>
          <w:rFonts w:ascii="Times New Roman" w:eastAsia="Times New Roman" w:hAnsi="Times New Roman" w:cs="Times New Roman"/>
          <w:bCs/>
          <w:kern w:val="36"/>
          <w:sz w:val="24"/>
          <w:szCs w:val="24"/>
          <w:lang w:eastAsia="fr-FR"/>
        </w:rPr>
        <w:t>) et</w:t>
      </w:r>
      <w:r w:rsidR="00D73AE5">
        <w:rPr>
          <w:rFonts w:ascii="Times New Roman" w:eastAsia="Times New Roman" w:hAnsi="Times New Roman" w:cs="Times New Roman"/>
          <w:bCs/>
          <w:kern w:val="36"/>
          <w:sz w:val="24"/>
          <w:szCs w:val="24"/>
          <w:lang w:eastAsia="fr-FR"/>
        </w:rPr>
        <w:t xml:space="preserve"> leur taille (</w:t>
      </w:r>
      <w:r w:rsidR="00BB1111">
        <w:rPr>
          <w:rFonts w:ascii="Times New Roman" w:eastAsia="Times New Roman" w:hAnsi="Times New Roman" w:cs="Times New Roman"/>
          <w:bCs/>
          <w:kern w:val="36"/>
          <w:sz w:val="24"/>
          <w:szCs w:val="24"/>
          <w:lang w:eastAsia="fr-FR"/>
        </w:rPr>
        <w:t>supérieure/inférieure à la médiane). Le traitement des données marginales liées notamment à un probable effet « pays » est réalisé grâce à des tests successifs excluant les pays les plus représentés et présentant des valeurs extrêmes : faible DVI pour les banques chinoises, financement fossile élevé pour les banques américaines. Enfin, les banques publiques sont neutralisées car leur politique de DVI extra-financière pourrait relever plus d’une décision politique que d’une décision managériale</w:t>
      </w:r>
      <w:r w:rsidR="0095508F">
        <w:rPr>
          <w:rStyle w:val="Appelnotedebasdep"/>
          <w:rFonts w:ascii="Times New Roman" w:eastAsia="Times New Roman" w:hAnsi="Times New Roman" w:cs="Times New Roman"/>
          <w:bCs/>
          <w:kern w:val="36"/>
          <w:sz w:val="24"/>
          <w:szCs w:val="24"/>
          <w:lang w:eastAsia="fr-FR"/>
        </w:rPr>
        <w:footnoteReference w:id="15"/>
      </w:r>
      <w:r w:rsidR="00BB1111">
        <w:rPr>
          <w:rFonts w:ascii="Times New Roman" w:eastAsia="Times New Roman" w:hAnsi="Times New Roman" w:cs="Times New Roman"/>
          <w:bCs/>
          <w:kern w:val="36"/>
          <w:sz w:val="24"/>
          <w:szCs w:val="24"/>
          <w:lang w:eastAsia="fr-FR"/>
        </w:rPr>
        <w:t>.</w:t>
      </w:r>
      <w:r w:rsidR="00547328">
        <w:rPr>
          <w:rFonts w:ascii="Times New Roman" w:eastAsia="Times New Roman" w:hAnsi="Times New Roman" w:cs="Times New Roman"/>
          <w:bCs/>
          <w:kern w:val="36"/>
          <w:sz w:val="24"/>
          <w:szCs w:val="24"/>
          <w:lang w:eastAsia="fr-FR"/>
        </w:rPr>
        <w:t xml:space="preserve"> Les résultats pour la variable </w:t>
      </w:r>
      <w:r w:rsidR="00547328" w:rsidRPr="00F6008C">
        <w:rPr>
          <w:rFonts w:ascii="Times New Roman" w:eastAsia="Times New Roman" w:hAnsi="Times New Roman" w:cs="Times New Roman"/>
          <w:bCs/>
          <w:i/>
          <w:kern w:val="36"/>
          <w:sz w:val="24"/>
          <w:szCs w:val="24"/>
          <w:lang w:eastAsia="fr-FR"/>
        </w:rPr>
        <w:t>GRI</w:t>
      </w:r>
      <w:r w:rsidR="00547328">
        <w:rPr>
          <w:rFonts w:ascii="Times New Roman" w:eastAsia="Times New Roman" w:hAnsi="Times New Roman" w:cs="Times New Roman"/>
          <w:bCs/>
          <w:kern w:val="36"/>
          <w:sz w:val="24"/>
          <w:szCs w:val="24"/>
          <w:lang w:eastAsia="fr-FR"/>
        </w:rPr>
        <w:t xml:space="preserve"> ne sont pas reportés car non significatifs quelle que soit la spécification. </w:t>
      </w:r>
      <w:r w:rsidR="00EB3251" w:rsidRPr="001845C0">
        <w:rPr>
          <w:rFonts w:ascii="Times New Roman" w:eastAsia="Times New Roman" w:hAnsi="Times New Roman" w:cs="Times New Roman"/>
          <w:bCs/>
          <w:kern w:val="36"/>
          <w:sz w:val="24"/>
          <w:szCs w:val="24"/>
          <w:lang w:eastAsia="fr-FR"/>
        </w:rPr>
        <w:t>Les variables de financement des filières fossiles (</w:t>
      </w:r>
      <w:r w:rsidR="00EB3251" w:rsidRPr="00426D18">
        <w:rPr>
          <w:rFonts w:ascii="Times New Roman" w:eastAsia="Times New Roman" w:hAnsi="Times New Roman" w:cs="Times New Roman"/>
          <w:bCs/>
          <w:i/>
          <w:kern w:val="36"/>
          <w:sz w:val="24"/>
          <w:szCs w:val="24"/>
          <w:lang w:eastAsia="fr-FR"/>
        </w:rPr>
        <w:t>FEF</w:t>
      </w:r>
      <w:r w:rsidR="00EB3251" w:rsidRPr="001845C0">
        <w:rPr>
          <w:rFonts w:ascii="Times New Roman" w:eastAsia="Times New Roman" w:hAnsi="Times New Roman" w:cs="Times New Roman"/>
          <w:bCs/>
          <w:kern w:val="36"/>
          <w:sz w:val="24"/>
          <w:szCs w:val="24"/>
          <w:lang w:eastAsia="fr-FR"/>
        </w:rPr>
        <w:t xml:space="preserve"> et </w:t>
      </w:r>
      <w:r w:rsidR="00EB3251" w:rsidRPr="00426D18">
        <w:rPr>
          <w:rFonts w:ascii="Times New Roman" w:eastAsia="Times New Roman" w:hAnsi="Times New Roman" w:cs="Times New Roman"/>
          <w:bCs/>
          <w:i/>
          <w:kern w:val="36"/>
          <w:sz w:val="24"/>
          <w:szCs w:val="24"/>
          <w:lang w:eastAsia="fr-FR"/>
        </w:rPr>
        <w:t>CEF</w:t>
      </w:r>
      <w:r w:rsidR="00EB3251">
        <w:rPr>
          <w:rFonts w:ascii="Times New Roman" w:eastAsia="Times New Roman" w:hAnsi="Times New Roman" w:cs="Times New Roman"/>
          <w:bCs/>
          <w:kern w:val="36"/>
          <w:sz w:val="24"/>
          <w:szCs w:val="24"/>
          <w:lang w:eastAsia="fr-FR"/>
        </w:rPr>
        <w:t xml:space="preserve">) sont </w:t>
      </w:r>
      <w:r w:rsidR="00EB3251" w:rsidRPr="001845C0">
        <w:rPr>
          <w:rFonts w:ascii="Times New Roman" w:eastAsia="Times New Roman" w:hAnsi="Times New Roman" w:cs="Times New Roman"/>
          <w:bCs/>
          <w:kern w:val="36"/>
          <w:sz w:val="24"/>
          <w:szCs w:val="24"/>
          <w:lang w:eastAsia="fr-FR"/>
        </w:rPr>
        <w:t>fortement colin</w:t>
      </w:r>
      <w:r w:rsidR="00EB3251">
        <w:rPr>
          <w:rFonts w:ascii="Times New Roman" w:eastAsia="Times New Roman" w:hAnsi="Times New Roman" w:cs="Times New Roman"/>
          <w:bCs/>
          <w:kern w:val="36"/>
          <w:sz w:val="24"/>
          <w:szCs w:val="24"/>
          <w:lang w:eastAsia="fr-FR"/>
        </w:rPr>
        <w:t xml:space="preserve">éaires et </w:t>
      </w:r>
      <w:r w:rsidR="00865091">
        <w:rPr>
          <w:rFonts w:ascii="Times New Roman" w:eastAsia="Times New Roman" w:hAnsi="Times New Roman" w:cs="Times New Roman"/>
          <w:bCs/>
          <w:kern w:val="36"/>
          <w:sz w:val="24"/>
          <w:szCs w:val="24"/>
          <w:lang w:eastAsia="fr-FR"/>
        </w:rPr>
        <w:t>ne peuvent être intégré</w:t>
      </w:r>
      <w:r w:rsidR="00547328">
        <w:rPr>
          <w:rFonts w:ascii="Times New Roman" w:eastAsia="Times New Roman" w:hAnsi="Times New Roman" w:cs="Times New Roman"/>
          <w:bCs/>
          <w:kern w:val="36"/>
          <w:sz w:val="24"/>
          <w:szCs w:val="24"/>
          <w:lang w:eastAsia="fr-FR"/>
        </w:rPr>
        <w:t>e</w:t>
      </w:r>
      <w:r w:rsidR="0037005E">
        <w:rPr>
          <w:rFonts w:ascii="Times New Roman" w:eastAsia="Times New Roman" w:hAnsi="Times New Roman" w:cs="Times New Roman"/>
          <w:bCs/>
          <w:kern w:val="36"/>
          <w:sz w:val="24"/>
          <w:szCs w:val="24"/>
          <w:lang w:eastAsia="fr-FR"/>
        </w:rPr>
        <w:t>s simultanément dans les modèles.</w:t>
      </w:r>
    </w:p>
    <w:p w:rsidR="00D816AC" w:rsidRDefault="00E05A88" w:rsidP="00CF31B3">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 tableau 6</w:t>
      </w:r>
      <w:r w:rsidR="00D816AC">
        <w:rPr>
          <w:rFonts w:ascii="Times New Roman" w:eastAsia="Times New Roman" w:hAnsi="Times New Roman" w:cs="Times New Roman"/>
          <w:bCs/>
          <w:kern w:val="36"/>
          <w:sz w:val="24"/>
          <w:szCs w:val="24"/>
          <w:lang w:eastAsia="fr-FR"/>
        </w:rPr>
        <w:t xml:space="preserve"> récapitule les résultats pour la variable </w:t>
      </w:r>
      <w:r w:rsidR="00D816AC" w:rsidRPr="00D816AC">
        <w:rPr>
          <w:rFonts w:ascii="Times New Roman" w:eastAsia="Times New Roman" w:hAnsi="Times New Roman" w:cs="Times New Roman"/>
          <w:bCs/>
          <w:i/>
          <w:kern w:val="36"/>
          <w:sz w:val="24"/>
          <w:szCs w:val="24"/>
          <w:lang w:eastAsia="fr-FR"/>
        </w:rPr>
        <w:t>CDP</w:t>
      </w:r>
      <w:r w:rsidR="00D816AC">
        <w:rPr>
          <w:rFonts w:ascii="Times New Roman" w:eastAsia="Times New Roman" w:hAnsi="Times New Roman" w:cs="Times New Roman"/>
          <w:bCs/>
          <w:i/>
          <w:kern w:val="36"/>
          <w:sz w:val="24"/>
          <w:szCs w:val="24"/>
          <w:lang w:eastAsia="fr-FR"/>
        </w:rPr>
        <w:t xml:space="preserve"> </w:t>
      </w:r>
      <w:r w:rsidR="00D816AC">
        <w:rPr>
          <w:rFonts w:ascii="Times New Roman" w:eastAsia="Times New Roman" w:hAnsi="Times New Roman" w:cs="Times New Roman"/>
          <w:bCs/>
          <w:kern w:val="36"/>
          <w:sz w:val="24"/>
          <w:szCs w:val="24"/>
          <w:lang w:eastAsia="fr-FR"/>
        </w:rPr>
        <w:t xml:space="preserve">mesurant la qualité de la DVI environnementale. La méthode retient 5 variables indépendantes : </w:t>
      </w:r>
      <w:r w:rsidR="00D816AC" w:rsidRPr="00D816AC">
        <w:rPr>
          <w:rFonts w:ascii="Times New Roman" w:eastAsia="Times New Roman" w:hAnsi="Times New Roman" w:cs="Times New Roman"/>
          <w:bCs/>
          <w:i/>
          <w:kern w:val="36"/>
          <w:sz w:val="24"/>
          <w:szCs w:val="24"/>
          <w:lang w:eastAsia="fr-FR"/>
        </w:rPr>
        <w:t>CEF</w:t>
      </w:r>
      <w:r w:rsidR="00D816AC">
        <w:rPr>
          <w:rFonts w:ascii="Times New Roman" w:eastAsia="Times New Roman" w:hAnsi="Times New Roman" w:cs="Times New Roman"/>
          <w:bCs/>
          <w:kern w:val="36"/>
          <w:sz w:val="24"/>
          <w:szCs w:val="24"/>
          <w:lang w:eastAsia="fr-FR"/>
        </w:rPr>
        <w:t xml:space="preserve">, </w:t>
      </w:r>
      <w:r w:rsidR="00D816AC" w:rsidRPr="00D816AC">
        <w:rPr>
          <w:rFonts w:ascii="Times New Roman" w:eastAsia="Times New Roman" w:hAnsi="Times New Roman" w:cs="Times New Roman"/>
          <w:bCs/>
          <w:i/>
          <w:kern w:val="36"/>
          <w:sz w:val="24"/>
          <w:szCs w:val="24"/>
          <w:lang w:eastAsia="fr-FR"/>
        </w:rPr>
        <w:t>TAILLE</w:t>
      </w:r>
      <w:r w:rsidR="00D816AC">
        <w:rPr>
          <w:rFonts w:ascii="Times New Roman" w:eastAsia="Times New Roman" w:hAnsi="Times New Roman" w:cs="Times New Roman"/>
          <w:bCs/>
          <w:kern w:val="36"/>
          <w:sz w:val="24"/>
          <w:szCs w:val="24"/>
          <w:lang w:eastAsia="fr-FR"/>
        </w:rPr>
        <w:t xml:space="preserve">, </w:t>
      </w:r>
      <w:r w:rsidR="00D816AC" w:rsidRPr="00D816AC">
        <w:rPr>
          <w:rFonts w:ascii="Times New Roman" w:eastAsia="Times New Roman" w:hAnsi="Times New Roman" w:cs="Times New Roman"/>
          <w:bCs/>
          <w:i/>
          <w:kern w:val="36"/>
          <w:sz w:val="24"/>
          <w:szCs w:val="24"/>
          <w:lang w:eastAsia="fr-FR"/>
        </w:rPr>
        <w:t>EPI</w:t>
      </w:r>
      <w:r w:rsidR="00D816AC">
        <w:rPr>
          <w:rFonts w:ascii="Times New Roman" w:eastAsia="Times New Roman" w:hAnsi="Times New Roman" w:cs="Times New Roman"/>
          <w:bCs/>
          <w:kern w:val="36"/>
          <w:sz w:val="24"/>
          <w:szCs w:val="24"/>
          <w:lang w:eastAsia="fr-FR"/>
        </w:rPr>
        <w:t xml:space="preserve">, </w:t>
      </w:r>
      <w:r w:rsidR="00D816AC" w:rsidRPr="00D816AC">
        <w:rPr>
          <w:rFonts w:ascii="Times New Roman" w:eastAsia="Times New Roman" w:hAnsi="Times New Roman" w:cs="Times New Roman"/>
          <w:bCs/>
          <w:i/>
          <w:kern w:val="36"/>
          <w:sz w:val="24"/>
          <w:szCs w:val="24"/>
          <w:lang w:eastAsia="fr-FR"/>
        </w:rPr>
        <w:t>EUR</w:t>
      </w:r>
      <w:r w:rsidR="00D816AC">
        <w:rPr>
          <w:rFonts w:ascii="Times New Roman" w:eastAsia="Times New Roman" w:hAnsi="Times New Roman" w:cs="Times New Roman"/>
          <w:bCs/>
          <w:kern w:val="36"/>
          <w:sz w:val="24"/>
          <w:szCs w:val="24"/>
          <w:lang w:eastAsia="fr-FR"/>
        </w:rPr>
        <w:t xml:space="preserve"> et </w:t>
      </w:r>
      <w:r w:rsidR="00D816AC" w:rsidRPr="00D816AC">
        <w:rPr>
          <w:rFonts w:ascii="Times New Roman" w:eastAsia="Times New Roman" w:hAnsi="Times New Roman" w:cs="Times New Roman"/>
          <w:bCs/>
          <w:i/>
          <w:kern w:val="36"/>
          <w:sz w:val="24"/>
          <w:szCs w:val="24"/>
          <w:lang w:eastAsia="fr-FR"/>
        </w:rPr>
        <w:t>ANNEE</w:t>
      </w:r>
      <w:r w:rsidR="00D816AC">
        <w:rPr>
          <w:rFonts w:ascii="Times New Roman" w:eastAsia="Times New Roman" w:hAnsi="Times New Roman" w:cs="Times New Roman"/>
          <w:bCs/>
          <w:kern w:val="36"/>
          <w:sz w:val="24"/>
          <w:szCs w:val="24"/>
          <w:lang w:eastAsia="fr-FR"/>
        </w:rPr>
        <w:t xml:space="preserve">. </w:t>
      </w:r>
      <w:r w:rsidR="00CF31B3">
        <w:rPr>
          <w:rFonts w:ascii="Times New Roman" w:eastAsia="Times New Roman" w:hAnsi="Times New Roman" w:cs="Times New Roman"/>
          <w:bCs/>
          <w:kern w:val="36"/>
          <w:sz w:val="24"/>
          <w:szCs w:val="24"/>
          <w:lang w:eastAsia="fr-FR"/>
        </w:rPr>
        <w:t xml:space="preserve">Le montant des financements aux filières fossiles </w:t>
      </w:r>
      <w:r w:rsidR="00CF31B3" w:rsidRPr="00CF31B3">
        <w:rPr>
          <w:rFonts w:ascii="Times New Roman" w:eastAsia="Times New Roman" w:hAnsi="Times New Roman" w:cs="Times New Roman"/>
          <w:bCs/>
          <w:i/>
          <w:kern w:val="36"/>
          <w:sz w:val="24"/>
          <w:szCs w:val="24"/>
          <w:lang w:eastAsia="fr-FR"/>
        </w:rPr>
        <w:t>CEF</w:t>
      </w:r>
      <w:r w:rsidR="00CF31B3">
        <w:rPr>
          <w:rFonts w:ascii="Times New Roman" w:eastAsia="Times New Roman" w:hAnsi="Times New Roman" w:cs="Times New Roman"/>
          <w:bCs/>
          <w:kern w:val="36"/>
          <w:sz w:val="24"/>
          <w:szCs w:val="24"/>
          <w:lang w:eastAsia="fr-FR"/>
        </w:rPr>
        <w:t xml:space="preserve"> affiche un coefficient positif et significatif dans tous les modèles sauf pour le sous-échantillon des banques de petite taille : ce résultat tend à confirmer l’hypothèse de légitimité. La significativité du coefficient ne résiste cependant pas au </w:t>
      </w:r>
      <w:proofErr w:type="spellStart"/>
      <w:r w:rsidR="00CF31B3" w:rsidRPr="00CF31B3">
        <w:rPr>
          <w:rFonts w:ascii="Times New Roman" w:eastAsia="Times New Roman" w:hAnsi="Times New Roman" w:cs="Times New Roman"/>
          <w:bCs/>
          <w:i/>
          <w:kern w:val="36"/>
          <w:sz w:val="24"/>
          <w:szCs w:val="24"/>
          <w:lang w:eastAsia="fr-FR"/>
        </w:rPr>
        <w:t>Bootstrap</w:t>
      </w:r>
      <w:proofErr w:type="spellEnd"/>
      <w:r w:rsidR="00CF31B3">
        <w:rPr>
          <w:rFonts w:ascii="Times New Roman" w:eastAsia="Times New Roman" w:hAnsi="Times New Roman" w:cs="Times New Roman"/>
          <w:bCs/>
          <w:kern w:val="36"/>
          <w:sz w:val="24"/>
          <w:szCs w:val="24"/>
          <w:lang w:eastAsia="fr-FR"/>
        </w:rPr>
        <w:t>. Plusieurs modèles possèdent des R² très faibles qui remettent en cause leur pertinence. Ainsi, la relation négative performance-qualité de la DVI ne semble robuste que pour les plus grandes banques de l’échantillon et celles hors UE </w:t>
      </w:r>
      <w:r w:rsidR="0095508F">
        <w:rPr>
          <w:rFonts w:ascii="Times New Roman" w:eastAsia="Times New Roman" w:hAnsi="Times New Roman" w:cs="Times New Roman"/>
          <w:bCs/>
          <w:kern w:val="36"/>
          <w:sz w:val="24"/>
          <w:szCs w:val="24"/>
          <w:lang w:eastAsia="fr-FR"/>
        </w:rPr>
        <w:t xml:space="preserve">(R² de 0,632 et 0,693) </w:t>
      </w:r>
      <w:r w:rsidR="00CF31B3">
        <w:rPr>
          <w:rFonts w:ascii="Times New Roman" w:eastAsia="Times New Roman" w:hAnsi="Times New Roman" w:cs="Times New Roman"/>
          <w:bCs/>
          <w:kern w:val="36"/>
          <w:sz w:val="24"/>
          <w:szCs w:val="24"/>
          <w:lang w:eastAsia="fr-FR"/>
        </w:rPr>
        <w:t>: l</w:t>
      </w:r>
      <w:r w:rsidR="00CF31B3" w:rsidRPr="001845C0">
        <w:rPr>
          <w:rFonts w:ascii="Times New Roman" w:eastAsia="Times New Roman" w:hAnsi="Times New Roman" w:cs="Times New Roman"/>
          <w:bCs/>
          <w:kern w:val="36"/>
          <w:sz w:val="24"/>
          <w:szCs w:val="24"/>
          <w:lang w:eastAsia="fr-FR"/>
        </w:rPr>
        <w:t xml:space="preserve">orsqu’elles augmentent leur financement aux filières fossiles (baisse de la </w:t>
      </w:r>
      <w:r w:rsidR="00176420">
        <w:rPr>
          <w:rFonts w:ascii="Times New Roman" w:eastAsia="Times New Roman" w:hAnsi="Times New Roman" w:cs="Times New Roman"/>
          <w:bCs/>
          <w:kern w:val="36"/>
          <w:sz w:val="24"/>
          <w:szCs w:val="24"/>
          <w:lang w:eastAsia="fr-FR"/>
        </w:rPr>
        <w:t>performance environnementale), c</w:t>
      </w:r>
      <w:r w:rsidR="00CF31B3" w:rsidRPr="001845C0">
        <w:rPr>
          <w:rFonts w:ascii="Times New Roman" w:eastAsia="Times New Roman" w:hAnsi="Times New Roman" w:cs="Times New Roman"/>
          <w:bCs/>
          <w:kern w:val="36"/>
          <w:sz w:val="24"/>
          <w:szCs w:val="24"/>
          <w:lang w:eastAsia="fr-FR"/>
        </w:rPr>
        <w:t xml:space="preserve">es banques tendent à </w:t>
      </w:r>
      <w:r w:rsidR="0095508F">
        <w:rPr>
          <w:rFonts w:ascii="Times New Roman" w:eastAsia="Times New Roman" w:hAnsi="Times New Roman" w:cs="Times New Roman"/>
          <w:bCs/>
          <w:kern w:val="36"/>
          <w:sz w:val="24"/>
          <w:szCs w:val="24"/>
          <w:lang w:eastAsia="fr-FR"/>
        </w:rPr>
        <w:t>accroître la qualité de leur communication environnementale.</w:t>
      </w:r>
    </w:p>
    <w:p w:rsidR="0095508F" w:rsidRDefault="0095508F" w:rsidP="0095508F">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lastRenderedPageBreak/>
        <w:t xml:space="preserve">Parmi les autres déterminants de la DVI, la variable </w:t>
      </w:r>
      <w:r w:rsidRPr="0095508F">
        <w:rPr>
          <w:rFonts w:ascii="Times New Roman" w:eastAsia="Times New Roman" w:hAnsi="Times New Roman" w:cs="Times New Roman"/>
          <w:bCs/>
          <w:i/>
          <w:kern w:val="36"/>
          <w:sz w:val="24"/>
          <w:szCs w:val="24"/>
          <w:lang w:eastAsia="fr-FR"/>
        </w:rPr>
        <w:t>TAILLE</w:t>
      </w:r>
      <w:r>
        <w:rPr>
          <w:rFonts w:ascii="Times New Roman" w:eastAsia="Times New Roman" w:hAnsi="Times New Roman" w:cs="Times New Roman"/>
          <w:bCs/>
          <w:kern w:val="36"/>
          <w:sz w:val="24"/>
          <w:szCs w:val="24"/>
          <w:lang w:eastAsia="fr-FR"/>
        </w:rPr>
        <w:t xml:space="preserve"> est peu significative avec un coefficient négatif. </w:t>
      </w:r>
      <w:r w:rsidRPr="001845C0">
        <w:rPr>
          <w:rFonts w:ascii="Times New Roman" w:eastAsia="Times New Roman" w:hAnsi="Times New Roman" w:cs="Times New Roman"/>
          <w:bCs/>
          <w:kern w:val="36"/>
          <w:sz w:val="24"/>
          <w:szCs w:val="24"/>
          <w:lang w:eastAsia="fr-FR"/>
        </w:rPr>
        <w:t>L</w:t>
      </w:r>
      <w:r>
        <w:rPr>
          <w:rFonts w:ascii="Times New Roman" w:eastAsia="Times New Roman" w:hAnsi="Times New Roman" w:cs="Times New Roman"/>
          <w:bCs/>
          <w:kern w:val="36"/>
          <w:sz w:val="24"/>
          <w:szCs w:val="24"/>
          <w:lang w:eastAsia="fr-FR"/>
        </w:rPr>
        <w:t xml:space="preserve">es tests de </w:t>
      </w:r>
      <w:proofErr w:type="spellStart"/>
      <w:r>
        <w:rPr>
          <w:rFonts w:ascii="Times New Roman" w:eastAsia="Times New Roman" w:hAnsi="Times New Roman" w:cs="Times New Roman"/>
          <w:bCs/>
          <w:kern w:val="36"/>
          <w:sz w:val="24"/>
          <w:szCs w:val="24"/>
          <w:lang w:eastAsia="fr-FR"/>
        </w:rPr>
        <w:t>Hossain</w:t>
      </w:r>
      <w:proofErr w:type="spellEnd"/>
      <w:r>
        <w:rPr>
          <w:rFonts w:ascii="Times New Roman" w:eastAsia="Times New Roman" w:hAnsi="Times New Roman" w:cs="Times New Roman"/>
          <w:bCs/>
          <w:kern w:val="36"/>
          <w:sz w:val="24"/>
          <w:szCs w:val="24"/>
          <w:lang w:eastAsia="fr-FR"/>
        </w:rPr>
        <w:t xml:space="preserve"> et </w:t>
      </w:r>
      <w:proofErr w:type="spellStart"/>
      <w:r>
        <w:rPr>
          <w:rFonts w:ascii="Times New Roman" w:eastAsia="Times New Roman" w:hAnsi="Times New Roman" w:cs="Times New Roman"/>
          <w:bCs/>
          <w:kern w:val="36"/>
          <w:sz w:val="24"/>
          <w:szCs w:val="24"/>
          <w:lang w:eastAsia="fr-FR"/>
        </w:rPr>
        <w:t>Reaz</w:t>
      </w:r>
      <w:proofErr w:type="spellEnd"/>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2007</w:t>
      </w:r>
      <w:r>
        <w:rPr>
          <w:rFonts w:ascii="Times New Roman" w:eastAsia="Times New Roman" w:hAnsi="Times New Roman" w:cs="Times New Roman"/>
          <w:bCs/>
          <w:kern w:val="36"/>
          <w:sz w:val="24"/>
          <w:szCs w:val="24"/>
          <w:lang w:eastAsia="fr-FR"/>
        </w:rPr>
        <w:t>), de Bose et al.</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2017</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 xml:space="preserve">de </w:t>
      </w:r>
      <w:proofErr w:type="spellStart"/>
      <w:r>
        <w:rPr>
          <w:rFonts w:ascii="Times New Roman" w:eastAsia="Times New Roman" w:hAnsi="Times New Roman" w:cs="Times New Roman"/>
          <w:bCs/>
          <w:kern w:val="36"/>
          <w:sz w:val="24"/>
          <w:szCs w:val="24"/>
          <w:lang w:eastAsia="fr-FR"/>
        </w:rPr>
        <w:t>Zanga</w:t>
      </w:r>
      <w:proofErr w:type="spellEnd"/>
      <w:r>
        <w:rPr>
          <w:rFonts w:ascii="Times New Roman" w:eastAsia="Times New Roman" w:hAnsi="Times New Roman" w:cs="Times New Roman"/>
          <w:bCs/>
          <w:kern w:val="36"/>
          <w:sz w:val="24"/>
          <w:szCs w:val="24"/>
          <w:lang w:eastAsia="fr-FR"/>
        </w:rPr>
        <w:t xml:space="preserve"> </w:t>
      </w:r>
      <w:proofErr w:type="spellStart"/>
      <w:r>
        <w:rPr>
          <w:rFonts w:ascii="Times New Roman" w:eastAsia="Times New Roman" w:hAnsi="Times New Roman" w:cs="Times New Roman"/>
          <w:bCs/>
          <w:kern w:val="36"/>
          <w:sz w:val="24"/>
          <w:szCs w:val="24"/>
          <w:lang w:eastAsia="fr-FR"/>
        </w:rPr>
        <w:t>Ongbwa</w:t>
      </w:r>
      <w:proofErr w:type="spellEnd"/>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2019</w:t>
      </w:r>
      <w:r>
        <w:rPr>
          <w:rFonts w:ascii="Times New Roman" w:eastAsia="Times New Roman" w:hAnsi="Times New Roman" w:cs="Times New Roman"/>
          <w:bCs/>
          <w:kern w:val="36"/>
          <w:sz w:val="24"/>
          <w:szCs w:val="24"/>
          <w:lang w:eastAsia="fr-FR"/>
        </w:rPr>
        <w:t xml:space="preserve">) et de </w:t>
      </w:r>
      <w:proofErr w:type="spellStart"/>
      <w:r>
        <w:rPr>
          <w:rFonts w:ascii="Times New Roman" w:eastAsia="Times New Roman" w:hAnsi="Times New Roman" w:cs="Times New Roman"/>
          <w:bCs/>
          <w:kern w:val="36"/>
          <w:sz w:val="24"/>
          <w:szCs w:val="24"/>
          <w:lang w:eastAsia="fr-FR"/>
        </w:rPr>
        <w:t>Caby</w:t>
      </w:r>
      <w:proofErr w:type="spellEnd"/>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2020</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concluent pourtant à une influence positive de la taille sur la DVI environnementale sur des échantillons de banques. </w:t>
      </w:r>
      <w:r>
        <w:rPr>
          <w:rFonts w:ascii="Times New Roman" w:eastAsia="Times New Roman" w:hAnsi="Times New Roman" w:cs="Times New Roman"/>
          <w:bCs/>
          <w:kern w:val="36"/>
          <w:sz w:val="24"/>
          <w:szCs w:val="24"/>
          <w:lang w:eastAsia="fr-FR"/>
        </w:rPr>
        <w:t>D</w:t>
      </w:r>
      <w:r w:rsidR="0037005E">
        <w:rPr>
          <w:rFonts w:ascii="Times New Roman" w:eastAsia="Times New Roman" w:hAnsi="Times New Roman" w:cs="Times New Roman"/>
          <w:bCs/>
          <w:kern w:val="36"/>
          <w:sz w:val="24"/>
          <w:szCs w:val="24"/>
          <w:lang w:eastAsia="fr-FR"/>
        </w:rPr>
        <w:t xml:space="preserve">eux facteurs peuvent expliquer le résultat </w:t>
      </w:r>
      <w:r>
        <w:rPr>
          <w:rFonts w:ascii="Times New Roman" w:eastAsia="Times New Roman" w:hAnsi="Times New Roman" w:cs="Times New Roman"/>
          <w:bCs/>
          <w:kern w:val="36"/>
          <w:sz w:val="24"/>
          <w:szCs w:val="24"/>
          <w:lang w:eastAsia="fr-FR"/>
        </w:rPr>
        <w:t xml:space="preserve">instable pour la variable </w:t>
      </w:r>
      <w:r w:rsidRPr="00176420">
        <w:rPr>
          <w:rFonts w:ascii="Times New Roman" w:eastAsia="Times New Roman" w:hAnsi="Times New Roman" w:cs="Times New Roman"/>
          <w:bCs/>
          <w:i/>
          <w:kern w:val="36"/>
          <w:sz w:val="24"/>
          <w:szCs w:val="24"/>
          <w:lang w:eastAsia="fr-FR"/>
        </w:rPr>
        <w:t>TAILLE</w:t>
      </w:r>
      <w:r>
        <w:rPr>
          <w:rFonts w:ascii="Times New Roman" w:eastAsia="Times New Roman" w:hAnsi="Times New Roman" w:cs="Times New Roman"/>
          <w:bCs/>
          <w:kern w:val="36"/>
          <w:sz w:val="24"/>
          <w:szCs w:val="24"/>
          <w:lang w:eastAsia="fr-FR"/>
        </w:rPr>
        <w:t> : 1/ les banques de l’échantillon sont toutes des entités de très grande taille (les variations ne pèsent pas sur les enjeux de visibilité et de légitimité et sur leurs capacités organisationnelles de collecte et de diffusion d’information) ; 2/ les méthodes d’évaluation d’actifs diffèrent selon l’origine géographique et les règles comptables en vigueur, rendant la mesure utilisée peu représentative des différences réelles.</w:t>
      </w:r>
    </w:p>
    <w:p w:rsidR="00E21CDF" w:rsidRDefault="00E21CDF" w:rsidP="00E21CDF">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 xml:space="preserve">Dans les modèles pertinents, la politique environnementale des pays d’origine des banques, </w:t>
      </w:r>
      <w:r w:rsidRPr="00E21CDF">
        <w:rPr>
          <w:rFonts w:ascii="Times New Roman" w:eastAsia="Times New Roman" w:hAnsi="Times New Roman" w:cs="Times New Roman"/>
          <w:bCs/>
          <w:i/>
          <w:kern w:val="36"/>
          <w:sz w:val="24"/>
          <w:szCs w:val="24"/>
          <w:lang w:eastAsia="fr-FR"/>
        </w:rPr>
        <w:t>EPI</w:t>
      </w:r>
      <w:r>
        <w:rPr>
          <w:rFonts w:ascii="Times New Roman" w:eastAsia="Times New Roman" w:hAnsi="Times New Roman" w:cs="Times New Roman"/>
          <w:bCs/>
          <w:kern w:val="36"/>
          <w:sz w:val="24"/>
          <w:szCs w:val="24"/>
          <w:lang w:eastAsia="fr-FR"/>
        </w:rPr>
        <w:t xml:space="preserve">, impacte positivement la qualité de la DVI. Ce résultat conforte l’hypothèse néo-institutionnelle sur l’influence du contexte national sur la stratégie de DVI extra-financière des firmes. </w:t>
      </w:r>
      <w:r w:rsidRPr="001845C0">
        <w:rPr>
          <w:rFonts w:ascii="Times New Roman" w:eastAsia="Times New Roman" w:hAnsi="Times New Roman" w:cs="Times New Roman"/>
          <w:bCs/>
          <w:kern w:val="36"/>
          <w:sz w:val="24"/>
          <w:szCs w:val="24"/>
          <w:lang w:eastAsia="fr-FR"/>
        </w:rPr>
        <w:t>Le poids du contexte national et des caractéristiques du pays d</w:t>
      </w:r>
      <w:r>
        <w:rPr>
          <w:rFonts w:ascii="Times New Roman" w:eastAsia="Times New Roman" w:hAnsi="Times New Roman" w:cs="Times New Roman"/>
          <w:bCs/>
          <w:kern w:val="36"/>
          <w:sz w:val="24"/>
          <w:szCs w:val="24"/>
          <w:lang w:eastAsia="fr-FR"/>
        </w:rPr>
        <w:t xml:space="preserve">’origine est souligné par </w:t>
      </w:r>
      <w:proofErr w:type="spellStart"/>
      <w:r>
        <w:rPr>
          <w:rFonts w:ascii="Times New Roman" w:eastAsia="Times New Roman" w:hAnsi="Times New Roman" w:cs="Times New Roman"/>
          <w:bCs/>
          <w:kern w:val="36"/>
          <w:sz w:val="24"/>
          <w:szCs w:val="24"/>
          <w:lang w:eastAsia="fr-FR"/>
        </w:rPr>
        <w:t>Cosma</w:t>
      </w:r>
      <w:proofErr w:type="spellEnd"/>
      <w:r w:rsidRPr="001845C0">
        <w:rPr>
          <w:rFonts w:ascii="Times New Roman" w:eastAsia="Times New Roman" w:hAnsi="Times New Roman" w:cs="Times New Roman"/>
          <w:bCs/>
          <w:kern w:val="36"/>
          <w:sz w:val="24"/>
          <w:szCs w:val="24"/>
          <w:lang w:eastAsia="fr-FR"/>
        </w:rPr>
        <w:t xml:space="preserve"> </w:t>
      </w:r>
      <w:r w:rsidR="001238DD">
        <w:rPr>
          <w:rFonts w:ascii="Times New Roman" w:eastAsia="Times New Roman" w:hAnsi="Times New Roman" w:cs="Times New Roman"/>
          <w:bCs/>
          <w:kern w:val="36"/>
          <w:sz w:val="24"/>
          <w:szCs w:val="24"/>
          <w:lang w:eastAsia="fr-FR"/>
        </w:rPr>
        <w:t xml:space="preserve">et al.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2020</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et </w:t>
      </w:r>
      <w:proofErr w:type="spellStart"/>
      <w:r>
        <w:rPr>
          <w:rFonts w:ascii="Times New Roman" w:eastAsia="Times New Roman" w:hAnsi="Times New Roman" w:cs="Times New Roman"/>
          <w:bCs/>
          <w:kern w:val="36"/>
          <w:sz w:val="24"/>
          <w:szCs w:val="24"/>
          <w:lang w:eastAsia="fr-FR"/>
        </w:rPr>
        <w:t>Caby</w:t>
      </w:r>
      <w:proofErr w:type="spellEnd"/>
      <w:r>
        <w:rPr>
          <w:rFonts w:ascii="Times New Roman" w:eastAsia="Times New Roman" w:hAnsi="Times New Roman" w:cs="Times New Roman"/>
          <w:bCs/>
          <w:kern w:val="36"/>
          <w:sz w:val="24"/>
          <w:szCs w:val="24"/>
          <w:lang w:eastAsia="fr-FR"/>
        </w:rPr>
        <w:t xml:space="preserve"> et al.</w:t>
      </w:r>
      <w:r w:rsidRPr="00CC08BC">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2020</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dans le cas des banques, et </w:t>
      </w:r>
      <w:proofErr w:type="spellStart"/>
      <w:r>
        <w:rPr>
          <w:rFonts w:ascii="Times New Roman" w:eastAsia="Times New Roman" w:hAnsi="Times New Roman" w:cs="Times New Roman"/>
          <w:bCs/>
          <w:kern w:val="36"/>
          <w:sz w:val="24"/>
          <w:szCs w:val="24"/>
          <w:lang w:eastAsia="fr-FR"/>
        </w:rPr>
        <w:t>Grauel</w:t>
      </w:r>
      <w:proofErr w:type="spellEnd"/>
      <w:r>
        <w:rPr>
          <w:rFonts w:ascii="Times New Roman" w:eastAsia="Times New Roman" w:hAnsi="Times New Roman" w:cs="Times New Roman"/>
          <w:bCs/>
          <w:kern w:val="36"/>
          <w:sz w:val="24"/>
          <w:szCs w:val="24"/>
          <w:lang w:eastAsia="fr-FR"/>
        </w:rPr>
        <w:t xml:space="preserve"> et </w:t>
      </w:r>
      <w:proofErr w:type="spellStart"/>
      <w:r>
        <w:rPr>
          <w:rFonts w:ascii="Times New Roman" w:eastAsia="Times New Roman" w:hAnsi="Times New Roman" w:cs="Times New Roman"/>
          <w:bCs/>
          <w:kern w:val="36"/>
          <w:sz w:val="24"/>
          <w:szCs w:val="24"/>
          <w:lang w:eastAsia="fr-FR"/>
        </w:rPr>
        <w:t>Gotthardt</w:t>
      </w:r>
      <w:proofErr w:type="spellEnd"/>
      <w:r>
        <w:rPr>
          <w:rFonts w:ascii="Times New Roman" w:eastAsia="Times New Roman" w:hAnsi="Times New Roman" w:cs="Times New Roman"/>
          <w:bCs/>
          <w:kern w:val="36"/>
          <w:sz w:val="24"/>
          <w:szCs w:val="24"/>
          <w:lang w:eastAsia="fr-FR"/>
        </w:rPr>
        <w:t xml:space="preserve"> (2016) et</w:t>
      </w:r>
      <w:r w:rsidRPr="001845C0">
        <w:rPr>
          <w:rFonts w:ascii="Times New Roman" w:eastAsia="Times New Roman" w:hAnsi="Times New Roman" w:cs="Times New Roman"/>
          <w:bCs/>
          <w:kern w:val="36"/>
          <w:sz w:val="24"/>
          <w:szCs w:val="24"/>
          <w:lang w:eastAsia="fr-FR"/>
        </w:rPr>
        <w:t xml:space="preserve"> </w:t>
      </w:r>
      <w:proofErr w:type="spellStart"/>
      <w:r w:rsidRPr="001845C0">
        <w:rPr>
          <w:rFonts w:ascii="Times New Roman" w:eastAsia="Times New Roman" w:hAnsi="Times New Roman" w:cs="Times New Roman"/>
          <w:bCs/>
          <w:kern w:val="36"/>
          <w:sz w:val="24"/>
          <w:szCs w:val="24"/>
          <w:lang w:eastAsia="fr-FR"/>
        </w:rPr>
        <w:t>Luo</w:t>
      </w:r>
      <w:proofErr w:type="spellEnd"/>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2019</w:t>
      </w:r>
      <w:r>
        <w:rPr>
          <w:rFonts w:ascii="Times New Roman" w:eastAsia="Times New Roman" w:hAnsi="Times New Roman" w:cs="Times New Roman"/>
          <w:bCs/>
          <w:kern w:val="36"/>
          <w:sz w:val="24"/>
          <w:szCs w:val="24"/>
          <w:lang w:eastAsia="fr-FR"/>
        </w:rPr>
        <w:t xml:space="preserve">) hors secteur bancaire. La variable </w:t>
      </w:r>
      <w:r w:rsidRPr="00E21CDF">
        <w:rPr>
          <w:rFonts w:ascii="Times New Roman" w:eastAsia="Times New Roman" w:hAnsi="Times New Roman" w:cs="Times New Roman"/>
          <w:bCs/>
          <w:i/>
          <w:kern w:val="36"/>
          <w:sz w:val="24"/>
          <w:szCs w:val="24"/>
          <w:lang w:eastAsia="fr-FR"/>
        </w:rPr>
        <w:t>ANNEE</w:t>
      </w:r>
      <w:r>
        <w:rPr>
          <w:rFonts w:ascii="Times New Roman" w:eastAsia="Times New Roman" w:hAnsi="Times New Roman" w:cs="Times New Roman"/>
          <w:bCs/>
          <w:kern w:val="36"/>
          <w:sz w:val="24"/>
          <w:szCs w:val="24"/>
          <w:lang w:eastAsia="fr-FR"/>
        </w:rPr>
        <w:t xml:space="preserve"> capte une partie de la variabilité de la qualité de </w:t>
      </w:r>
      <w:r w:rsidR="00C45676">
        <w:rPr>
          <w:rFonts w:ascii="Times New Roman" w:eastAsia="Times New Roman" w:hAnsi="Times New Roman" w:cs="Times New Roman"/>
          <w:bCs/>
          <w:kern w:val="36"/>
          <w:sz w:val="24"/>
          <w:szCs w:val="24"/>
          <w:lang w:eastAsia="fr-FR"/>
        </w:rPr>
        <w:t>la DVI environnementale : le signe positif montre une tendance à l’augmentation du score CDP sur la période.</w:t>
      </w:r>
    </w:p>
    <w:p w:rsidR="00E7422D" w:rsidRPr="00631969" w:rsidRDefault="00E7422D" w:rsidP="00E7422D">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631969">
        <w:rPr>
          <w:rFonts w:ascii="Times New Roman" w:eastAsia="Times New Roman" w:hAnsi="Times New Roman" w:cs="Times New Roman"/>
          <w:b/>
          <w:bCs/>
          <w:kern w:val="36"/>
          <w:sz w:val="24"/>
          <w:szCs w:val="24"/>
          <w:lang w:eastAsia="fr-FR"/>
        </w:rPr>
        <w:t>Tab</w:t>
      </w:r>
      <w:r w:rsidR="00E05A88">
        <w:rPr>
          <w:rFonts w:ascii="Times New Roman" w:eastAsia="Times New Roman" w:hAnsi="Times New Roman" w:cs="Times New Roman"/>
          <w:b/>
          <w:bCs/>
          <w:kern w:val="36"/>
          <w:sz w:val="24"/>
          <w:szCs w:val="24"/>
          <w:lang w:eastAsia="fr-FR"/>
        </w:rPr>
        <w:t>leau 6</w:t>
      </w:r>
      <w:r w:rsidR="00F6008C">
        <w:rPr>
          <w:rFonts w:ascii="Times New Roman" w:eastAsia="Times New Roman" w:hAnsi="Times New Roman" w:cs="Times New Roman"/>
          <w:b/>
          <w:bCs/>
          <w:kern w:val="36"/>
          <w:sz w:val="24"/>
          <w:szCs w:val="24"/>
          <w:lang w:eastAsia="fr-FR"/>
        </w:rPr>
        <w:t> : Modèles de régression -</w:t>
      </w:r>
      <w:r w:rsidRPr="00631969">
        <w:rPr>
          <w:rFonts w:ascii="Times New Roman" w:eastAsia="Times New Roman" w:hAnsi="Times New Roman" w:cs="Times New Roman"/>
          <w:b/>
          <w:bCs/>
          <w:kern w:val="36"/>
          <w:sz w:val="24"/>
          <w:szCs w:val="24"/>
          <w:lang w:eastAsia="fr-FR"/>
        </w:rPr>
        <w:t xml:space="preserve"> qualité de la DVI environnementale (Y=CDP).</w:t>
      </w:r>
    </w:p>
    <w:tbl>
      <w:tblPr>
        <w:tblStyle w:val="Grilledutableau"/>
        <w:tblW w:w="0" w:type="auto"/>
        <w:jc w:val="center"/>
        <w:tblLook w:val="04A0" w:firstRow="1" w:lastRow="0" w:firstColumn="1" w:lastColumn="0" w:noHBand="0" w:noVBand="1"/>
      </w:tblPr>
      <w:tblGrid>
        <w:gridCol w:w="856"/>
        <w:gridCol w:w="1417"/>
        <w:gridCol w:w="1131"/>
        <w:gridCol w:w="1132"/>
        <w:gridCol w:w="1131"/>
        <w:gridCol w:w="1131"/>
        <w:gridCol w:w="1132"/>
        <w:gridCol w:w="1132"/>
      </w:tblGrid>
      <w:tr w:rsidR="00E7422D" w:rsidRPr="007A14CC" w:rsidTr="00DD1412">
        <w:trPr>
          <w:jc w:val="center"/>
        </w:trPr>
        <w:tc>
          <w:tcPr>
            <w:tcW w:w="856"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8206" w:type="dxa"/>
            <w:gridSpan w:val="7"/>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Y = CDP (qualité de la DVI environnementale)</w:t>
            </w:r>
          </w:p>
        </w:tc>
      </w:tr>
      <w:tr w:rsidR="00E7422D" w:rsidRPr="007A14CC" w:rsidTr="00DD1412">
        <w:trPr>
          <w:jc w:val="center"/>
        </w:trPr>
        <w:tc>
          <w:tcPr>
            <w:tcW w:w="856"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Echantillon Total [</w:t>
            </w:r>
            <w:proofErr w:type="spellStart"/>
            <w:r>
              <w:rPr>
                <w:rFonts w:ascii="Times New Roman" w:eastAsia="Times New Roman" w:hAnsi="Times New Roman" w:cs="Times New Roman"/>
                <w:sz w:val="16"/>
                <w:szCs w:val="16"/>
                <w:lang w:eastAsia="fr-FR"/>
              </w:rPr>
              <w:t>Bootstrap</w:t>
            </w:r>
            <w:proofErr w:type="spellEnd"/>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UE</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Hors UE</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Taille +</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Taille -</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Hors Banques Chinoises</w:t>
            </w:r>
          </w:p>
        </w:tc>
        <w:tc>
          <w:tcPr>
            <w:tcW w:w="1132"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Hors Banques publiques</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FEF</w:t>
            </w: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CEF</w:t>
            </w:r>
          </w:p>
        </w:tc>
        <w:tc>
          <w:tcPr>
            <w:tcW w:w="1417"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1,63***</w:t>
            </w:r>
          </w:p>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[0,34 ; 3,02]</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1,98**</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2,08**</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2,35**</w:t>
            </w:r>
          </w:p>
        </w:tc>
        <w:tc>
          <w:tcPr>
            <w:tcW w:w="1131" w:type="dxa"/>
          </w:tcPr>
          <w:p w:rsidR="00E7422D" w:rsidRPr="007C7C5C" w:rsidRDefault="00B940C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-0,53</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1,22*</w:t>
            </w:r>
          </w:p>
        </w:tc>
        <w:tc>
          <w:tcPr>
            <w:tcW w:w="1132" w:type="dxa"/>
          </w:tcPr>
          <w:p w:rsidR="00E7422D" w:rsidRPr="007C7C5C" w:rsidRDefault="00741904"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2,20</w:t>
            </w:r>
            <w:r w:rsidR="00E7422D">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TAILLE</w:t>
            </w:r>
          </w:p>
        </w:tc>
        <w:tc>
          <w:tcPr>
            <w:tcW w:w="1417"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-2,54***</w:t>
            </w:r>
          </w:p>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[-4,45 ; -0,52]</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-2,27</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-0,93</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-1,15</w:t>
            </w:r>
          </w:p>
        </w:tc>
        <w:tc>
          <w:tcPr>
            <w:tcW w:w="1132" w:type="dxa"/>
          </w:tcPr>
          <w:p w:rsidR="00E7422D" w:rsidRDefault="00741904"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-2,74</w:t>
            </w:r>
            <w:r w:rsidR="00E7422D">
              <w:rPr>
                <w:rFonts w:ascii="Times New Roman" w:eastAsia="Times New Roman" w:hAnsi="Times New Roman" w:cs="Times New Roman"/>
                <w:sz w:val="16"/>
                <w:szCs w:val="16"/>
                <w:lang w:eastAsia="fr-FR"/>
              </w:rPr>
              <w:t>**</w:t>
            </w:r>
            <w:r>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RENTA</w:t>
            </w: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COT</w:t>
            </w: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EPI</w:t>
            </w:r>
          </w:p>
        </w:tc>
        <w:tc>
          <w:tcPr>
            <w:tcW w:w="1417"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0,14***</w:t>
            </w:r>
          </w:p>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[0,08 ; 0,18]***</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-0,19*</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0,18***</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0,19***</w:t>
            </w:r>
          </w:p>
        </w:tc>
        <w:tc>
          <w:tcPr>
            <w:tcW w:w="1131" w:type="dxa"/>
          </w:tcPr>
          <w:p w:rsidR="00E7422D" w:rsidRPr="007C7C5C" w:rsidRDefault="00B940C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-0,07</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-0,03</w:t>
            </w:r>
          </w:p>
        </w:tc>
        <w:tc>
          <w:tcPr>
            <w:tcW w:w="1132" w:type="dxa"/>
          </w:tcPr>
          <w:p w:rsidR="00E7422D" w:rsidRPr="007C7C5C" w:rsidRDefault="00741904"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0,13</w:t>
            </w:r>
            <w:r w:rsidR="00E7422D">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lastRenderedPageBreak/>
              <w:t>EUR</w:t>
            </w:r>
          </w:p>
        </w:tc>
        <w:tc>
          <w:tcPr>
            <w:tcW w:w="1417"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-0,11</w:t>
            </w:r>
          </w:p>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[-1,04 ; 0,83]</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-0,59</w:t>
            </w:r>
          </w:p>
        </w:tc>
        <w:tc>
          <w:tcPr>
            <w:tcW w:w="1131" w:type="dxa"/>
          </w:tcPr>
          <w:p w:rsidR="00E7422D" w:rsidRPr="007C7C5C" w:rsidRDefault="00B940C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-1,06</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0,27</w:t>
            </w:r>
          </w:p>
        </w:tc>
        <w:tc>
          <w:tcPr>
            <w:tcW w:w="1132" w:type="dxa"/>
          </w:tcPr>
          <w:p w:rsidR="00E7422D"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-0,225</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ANNEE</w:t>
            </w:r>
          </w:p>
        </w:tc>
        <w:tc>
          <w:tcPr>
            <w:tcW w:w="1417"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0,70***</w:t>
            </w:r>
          </w:p>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[0,35 ; 1,02]***</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-0,44</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1,02***</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0,66***</w:t>
            </w:r>
          </w:p>
        </w:tc>
        <w:tc>
          <w:tcPr>
            <w:tcW w:w="1131" w:type="dxa"/>
          </w:tcPr>
          <w:p w:rsidR="00E7422D" w:rsidRPr="007C7C5C" w:rsidRDefault="00B940C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0,17</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0,11</w:t>
            </w:r>
          </w:p>
        </w:tc>
        <w:tc>
          <w:tcPr>
            <w:tcW w:w="1132" w:type="dxa"/>
          </w:tcPr>
          <w:p w:rsidR="00E7422D"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0,67</w:t>
            </w:r>
            <w:r w:rsidR="00E7422D">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Pr>
                <w:rFonts w:ascii="Times New Roman" w:hAnsi="Times New Roman" w:cs="Times New Roman"/>
                <w:sz w:val="16"/>
                <w:szCs w:val="16"/>
              </w:rPr>
              <w:t>Constante</w:t>
            </w:r>
          </w:p>
        </w:tc>
        <w:tc>
          <w:tcPr>
            <w:tcW w:w="1417" w:type="dxa"/>
          </w:tcPr>
          <w:p w:rsidR="00E7422D"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-1395,29***</w:t>
            </w:r>
          </w:p>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[-2052 ; -691]***</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911,93</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2082,15***</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-1371,87***</w:t>
            </w:r>
          </w:p>
        </w:tc>
        <w:tc>
          <w:tcPr>
            <w:tcW w:w="1131" w:type="dxa"/>
          </w:tcPr>
          <w:p w:rsidR="00E7422D" w:rsidRPr="007C7C5C" w:rsidRDefault="00B940C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-324,00</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-215,88</w:t>
            </w:r>
          </w:p>
        </w:tc>
        <w:tc>
          <w:tcPr>
            <w:tcW w:w="1132" w:type="dxa"/>
          </w:tcPr>
          <w:p w:rsidR="00E7422D"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-1343,51</w:t>
            </w:r>
            <w:r w:rsidR="00E7422D">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R² ajusté</w:t>
            </w: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0,439</w:t>
            </w:r>
          </w:p>
        </w:tc>
        <w:tc>
          <w:tcPr>
            <w:tcW w:w="1131" w:type="dxa"/>
          </w:tcPr>
          <w:p w:rsidR="00E7422D" w:rsidRPr="00E251EB" w:rsidRDefault="00E7422D" w:rsidP="00DD1412">
            <w:pPr>
              <w:spacing w:before="100" w:beforeAutospacing="1" w:after="100" w:afterAutospacing="1"/>
              <w:jc w:val="center"/>
              <w:outlineLvl w:val="0"/>
              <w:rPr>
                <w:rFonts w:ascii="Times New Roman" w:eastAsia="Times New Roman" w:hAnsi="Times New Roman" w:cs="Times New Roman"/>
                <w:b/>
                <w:sz w:val="16"/>
                <w:szCs w:val="16"/>
                <w:lang w:eastAsia="fr-FR"/>
              </w:rPr>
            </w:pPr>
            <w:r w:rsidRPr="00E251EB">
              <w:rPr>
                <w:rFonts w:ascii="Times New Roman" w:eastAsia="Times New Roman" w:hAnsi="Times New Roman" w:cs="Times New Roman"/>
                <w:b/>
                <w:sz w:val="16"/>
                <w:szCs w:val="16"/>
                <w:lang w:eastAsia="fr-FR"/>
              </w:rPr>
              <w:t>0,0587</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0,632</w:t>
            </w:r>
          </w:p>
        </w:tc>
        <w:tc>
          <w:tcPr>
            <w:tcW w:w="1131" w:type="dxa"/>
          </w:tcPr>
          <w:p w:rsidR="00E7422D" w:rsidRPr="007C7C5C" w:rsidRDefault="005B5440"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0,688</w:t>
            </w:r>
          </w:p>
        </w:tc>
        <w:tc>
          <w:tcPr>
            <w:tcW w:w="1131" w:type="dxa"/>
          </w:tcPr>
          <w:p w:rsidR="00E7422D" w:rsidRPr="00E251EB" w:rsidRDefault="00B940C8" w:rsidP="00DD1412">
            <w:pPr>
              <w:spacing w:before="100" w:beforeAutospacing="1" w:after="100" w:afterAutospacing="1"/>
              <w:jc w:val="center"/>
              <w:outlineLvl w:val="0"/>
              <w:rPr>
                <w:rFonts w:ascii="Times New Roman" w:eastAsia="Times New Roman" w:hAnsi="Times New Roman" w:cs="Times New Roman"/>
                <w:b/>
                <w:sz w:val="16"/>
                <w:szCs w:val="16"/>
                <w:lang w:eastAsia="fr-FR"/>
              </w:rPr>
            </w:pPr>
            <w:r>
              <w:rPr>
                <w:rFonts w:ascii="Times New Roman" w:eastAsia="Times New Roman" w:hAnsi="Times New Roman" w:cs="Times New Roman"/>
                <w:b/>
                <w:sz w:val="16"/>
                <w:szCs w:val="16"/>
                <w:lang w:eastAsia="fr-FR"/>
              </w:rPr>
              <w:t>0,067</w:t>
            </w:r>
          </w:p>
        </w:tc>
        <w:tc>
          <w:tcPr>
            <w:tcW w:w="1132" w:type="dxa"/>
          </w:tcPr>
          <w:p w:rsidR="00E7422D" w:rsidRPr="00E251EB" w:rsidRDefault="00E7422D" w:rsidP="00DD1412">
            <w:pPr>
              <w:spacing w:before="100" w:beforeAutospacing="1" w:after="100" w:afterAutospacing="1"/>
              <w:jc w:val="center"/>
              <w:outlineLvl w:val="0"/>
              <w:rPr>
                <w:rFonts w:ascii="Times New Roman" w:eastAsia="Times New Roman" w:hAnsi="Times New Roman" w:cs="Times New Roman"/>
                <w:b/>
                <w:sz w:val="16"/>
                <w:szCs w:val="16"/>
                <w:lang w:eastAsia="fr-FR"/>
              </w:rPr>
            </w:pPr>
            <w:r w:rsidRPr="00E251EB">
              <w:rPr>
                <w:rFonts w:ascii="Times New Roman" w:eastAsia="Times New Roman" w:hAnsi="Times New Roman" w:cs="Times New Roman"/>
                <w:b/>
                <w:sz w:val="16"/>
                <w:szCs w:val="16"/>
                <w:lang w:eastAsia="fr-FR"/>
              </w:rPr>
              <w:t>0,041</w:t>
            </w:r>
          </w:p>
        </w:tc>
        <w:tc>
          <w:tcPr>
            <w:tcW w:w="1132" w:type="dxa"/>
          </w:tcPr>
          <w:p w:rsidR="00E7422D"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0,238</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r w:rsidRPr="007C7C5C">
              <w:rPr>
                <w:rFonts w:ascii="Times New Roman" w:hAnsi="Times New Roman" w:cs="Times New Roman"/>
                <w:sz w:val="16"/>
                <w:szCs w:val="16"/>
              </w:rPr>
              <w:t>VIF</w:t>
            </w: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[1,44 ; 2,78]</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[2,86 ; 3,04]</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[1,17 ; 2,65]</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[1,59 ; 5,23]</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[1,23 ; 4,18]</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[1,78 ; 2,91]</w:t>
            </w:r>
          </w:p>
        </w:tc>
        <w:tc>
          <w:tcPr>
            <w:tcW w:w="1132" w:type="dxa"/>
          </w:tcPr>
          <w:p w:rsidR="00E7422D"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[1,66 ; 2,68</w:t>
            </w:r>
            <w:r w:rsidR="00E7422D">
              <w:rPr>
                <w:rFonts w:ascii="Times New Roman" w:eastAsia="Times New Roman" w:hAnsi="Times New Roman" w:cs="Times New Roman"/>
                <w:sz w:val="16"/>
                <w:szCs w:val="16"/>
                <w:lang w:eastAsia="fr-FR"/>
              </w:rPr>
              <w:t>]</w:t>
            </w:r>
          </w:p>
        </w:tc>
      </w:tr>
      <w:tr w:rsidR="00E7422D" w:rsidRPr="007A14CC" w:rsidTr="00DD1412">
        <w:trPr>
          <w:jc w:val="center"/>
        </w:trPr>
        <w:tc>
          <w:tcPr>
            <w:tcW w:w="856" w:type="dxa"/>
          </w:tcPr>
          <w:p w:rsidR="00E7422D" w:rsidRPr="007C7C5C" w:rsidRDefault="00E7422D" w:rsidP="00DD1412">
            <w:pPr>
              <w:jc w:val="center"/>
              <w:rPr>
                <w:rFonts w:ascii="Times New Roman" w:hAnsi="Times New Roman" w:cs="Times New Roman"/>
                <w:sz w:val="16"/>
                <w:szCs w:val="16"/>
              </w:rPr>
            </w:pPr>
            <w:proofErr w:type="spellStart"/>
            <w:r w:rsidRPr="007C7C5C">
              <w:rPr>
                <w:rFonts w:ascii="Times New Roman" w:hAnsi="Times New Roman" w:cs="Times New Roman"/>
                <w:sz w:val="16"/>
                <w:szCs w:val="16"/>
              </w:rPr>
              <w:t>Durbin</w:t>
            </w:r>
            <w:proofErr w:type="spellEnd"/>
            <w:r>
              <w:rPr>
                <w:rFonts w:ascii="Times New Roman" w:hAnsi="Times New Roman" w:cs="Times New Roman"/>
                <w:sz w:val="16"/>
                <w:szCs w:val="16"/>
              </w:rPr>
              <w:t>-</w:t>
            </w:r>
            <w:r w:rsidRPr="007C7C5C">
              <w:rPr>
                <w:rFonts w:ascii="Times New Roman" w:hAnsi="Times New Roman" w:cs="Times New Roman"/>
                <w:sz w:val="16"/>
                <w:szCs w:val="16"/>
              </w:rPr>
              <w:t xml:space="preserve"> Watson</w:t>
            </w:r>
            <w:r>
              <w:rPr>
                <w:rFonts w:ascii="Times New Roman" w:hAnsi="Times New Roman" w:cs="Times New Roman"/>
                <w:sz w:val="16"/>
                <w:szCs w:val="16"/>
              </w:rPr>
              <w:t xml:space="preserve"> (p-value)</w:t>
            </w:r>
          </w:p>
        </w:tc>
        <w:tc>
          <w:tcPr>
            <w:tcW w:w="1417"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1,69 (0,094)</w:t>
            </w:r>
          </w:p>
        </w:tc>
        <w:tc>
          <w:tcPr>
            <w:tcW w:w="1131" w:type="dxa"/>
          </w:tcPr>
          <w:p w:rsidR="00E7422D" w:rsidRPr="00E251EB" w:rsidRDefault="00E7422D" w:rsidP="00DD1412">
            <w:pPr>
              <w:spacing w:before="100" w:beforeAutospacing="1" w:after="100" w:afterAutospacing="1"/>
              <w:jc w:val="center"/>
              <w:outlineLvl w:val="0"/>
              <w:rPr>
                <w:rFonts w:ascii="Times New Roman" w:eastAsia="Times New Roman" w:hAnsi="Times New Roman" w:cs="Times New Roman"/>
                <w:b/>
                <w:sz w:val="16"/>
                <w:szCs w:val="16"/>
                <w:lang w:eastAsia="fr-FR"/>
              </w:rPr>
            </w:pPr>
            <w:r w:rsidRPr="00E251EB">
              <w:rPr>
                <w:rFonts w:ascii="Times New Roman" w:eastAsia="Times New Roman" w:hAnsi="Times New Roman" w:cs="Times New Roman"/>
                <w:b/>
                <w:sz w:val="16"/>
                <w:szCs w:val="16"/>
                <w:lang w:eastAsia="fr-FR"/>
              </w:rPr>
              <w:t>1,43 (0,028)</w:t>
            </w:r>
          </w:p>
        </w:tc>
        <w:tc>
          <w:tcPr>
            <w:tcW w:w="1132"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1,91 (0,738)</w:t>
            </w:r>
          </w:p>
        </w:tc>
        <w:tc>
          <w:tcPr>
            <w:tcW w:w="1131" w:type="dxa"/>
          </w:tcPr>
          <w:p w:rsidR="00E7422D" w:rsidRPr="007C7C5C" w:rsidRDefault="005B5440"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1,96 (0,72</w:t>
            </w:r>
            <w:r w:rsidR="00E7422D">
              <w:rPr>
                <w:rFonts w:ascii="Times New Roman" w:eastAsia="Times New Roman" w:hAnsi="Times New Roman" w:cs="Times New Roman"/>
                <w:sz w:val="16"/>
                <w:szCs w:val="16"/>
                <w:lang w:eastAsia="fr-FR"/>
              </w:rPr>
              <w:t>8)</w:t>
            </w:r>
          </w:p>
        </w:tc>
        <w:tc>
          <w:tcPr>
            <w:tcW w:w="1131" w:type="dxa"/>
          </w:tcPr>
          <w:p w:rsidR="00E7422D" w:rsidRPr="007C7C5C" w:rsidRDefault="00E7422D"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2,05 (0,966)</w:t>
            </w:r>
          </w:p>
        </w:tc>
        <w:tc>
          <w:tcPr>
            <w:tcW w:w="1132" w:type="dxa"/>
          </w:tcPr>
          <w:p w:rsidR="00E7422D" w:rsidRPr="00E251EB" w:rsidRDefault="00E7422D" w:rsidP="00DD1412">
            <w:pPr>
              <w:spacing w:before="100" w:beforeAutospacing="1" w:after="100" w:afterAutospacing="1"/>
              <w:jc w:val="center"/>
              <w:outlineLvl w:val="0"/>
              <w:rPr>
                <w:rFonts w:ascii="Times New Roman" w:eastAsia="Times New Roman" w:hAnsi="Times New Roman" w:cs="Times New Roman"/>
                <w:b/>
                <w:sz w:val="16"/>
                <w:szCs w:val="16"/>
                <w:lang w:eastAsia="fr-FR"/>
              </w:rPr>
            </w:pPr>
            <w:r w:rsidRPr="00E251EB">
              <w:rPr>
                <w:rFonts w:ascii="Times New Roman" w:eastAsia="Times New Roman" w:hAnsi="Times New Roman" w:cs="Times New Roman"/>
                <w:b/>
                <w:sz w:val="16"/>
                <w:szCs w:val="16"/>
                <w:lang w:eastAsia="fr-FR"/>
              </w:rPr>
              <w:t>1,59 (0,018)</w:t>
            </w:r>
          </w:p>
        </w:tc>
        <w:tc>
          <w:tcPr>
            <w:tcW w:w="1132" w:type="dxa"/>
          </w:tcPr>
          <w:p w:rsidR="00E7422D" w:rsidRPr="00F154E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sidRPr="00F154EC">
              <w:rPr>
                <w:rFonts w:ascii="Times New Roman" w:eastAsia="Times New Roman" w:hAnsi="Times New Roman" w:cs="Times New Roman"/>
                <w:sz w:val="16"/>
                <w:szCs w:val="16"/>
                <w:lang w:eastAsia="fr-FR"/>
              </w:rPr>
              <w:t>1,65 (0,06</w:t>
            </w:r>
            <w:r w:rsidR="00E7422D" w:rsidRPr="00F154EC">
              <w:rPr>
                <w:rFonts w:ascii="Times New Roman" w:eastAsia="Times New Roman" w:hAnsi="Times New Roman" w:cs="Times New Roman"/>
                <w:sz w:val="16"/>
                <w:szCs w:val="16"/>
                <w:lang w:eastAsia="fr-FR"/>
              </w:rPr>
              <w:t>2)</w:t>
            </w:r>
          </w:p>
        </w:tc>
      </w:tr>
    </w:tbl>
    <w:p w:rsidR="00E7422D" w:rsidRPr="00686273" w:rsidRDefault="00E7422D" w:rsidP="00E7422D">
      <w:pPr>
        <w:spacing w:before="100" w:beforeAutospacing="1" w:after="100" w:afterAutospacing="1" w:line="240" w:lineRule="auto"/>
        <w:jc w:val="both"/>
        <w:outlineLvl w:val="0"/>
        <w:rPr>
          <w:rFonts w:ascii="Times New Roman" w:eastAsia="Times New Roman" w:hAnsi="Times New Roman" w:cs="Times New Roman"/>
          <w:sz w:val="20"/>
          <w:szCs w:val="20"/>
          <w:lang w:eastAsia="fr-FR"/>
        </w:rPr>
      </w:pPr>
      <w:proofErr w:type="gramStart"/>
      <w:r w:rsidRPr="005C0E58">
        <w:rPr>
          <w:rFonts w:ascii="Times New Roman" w:eastAsia="Times New Roman" w:hAnsi="Times New Roman" w:cs="Times New Roman"/>
          <w:sz w:val="20"/>
          <w:szCs w:val="20"/>
          <w:lang w:eastAsia="fr-FR"/>
        </w:rPr>
        <w:t>p</w:t>
      </w:r>
      <w:proofErr w:type="gramEnd"/>
      <w:r w:rsidRPr="005C0E58">
        <w:rPr>
          <w:rFonts w:ascii="Times New Roman" w:eastAsia="Times New Roman" w:hAnsi="Times New Roman" w:cs="Times New Roman"/>
          <w:sz w:val="20"/>
          <w:szCs w:val="20"/>
          <w:lang w:eastAsia="fr-FR"/>
        </w:rPr>
        <w:t>-significatif à 10% * ; 5% ** ; 1% ***. Résultats issus d’</w:t>
      </w:r>
      <w:r>
        <w:rPr>
          <w:rFonts w:ascii="Times New Roman" w:eastAsia="Times New Roman" w:hAnsi="Times New Roman" w:cs="Times New Roman"/>
          <w:sz w:val="20"/>
          <w:szCs w:val="20"/>
          <w:lang w:eastAsia="fr-FR"/>
        </w:rPr>
        <w:t>une régression</w:t>
      </w:r>
      <w:r w:rsidRPr="005C0E58">
        <w:rPr>
          <w:rFonts w:ascii="Times New Roman" w:eastAsia="Times New Roman" w:hAnsi="Times New Roman" w:cs="Times New Roman"/>
          <w:sz w:val="20"/>
          <w:szCs w:val="20"/>
          <w:lang w:eastAsia="fr-FR"/>
        </w:rPr>
        <w:t xml:space="preserve"> </w:t>
      </w:r>
      <w:proofErr w:type="spellStart"/>
      <w:r w:rsidRPr="005C0E58">
        <w:rPr>
          <w:rFonts w:ascii="Times New Roman" w:eastAsia="Times New Roman" w:hAnsi="Times New Roman" w:cs="Times New Roman"/>
          <w:sz w:val="20"/>
          <w:szCs w:val="20"/>
          <w:lang w:eastAsia="fr-FR"/>
        </w:rPr>
        <w:t>Leap</w:t>
      </w:r>
      <w:proofErr w:type="spellEnd"/>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Forward</w:t>
      </w:r>
      <w:proofErr w:type="spellEnd"/>
      <w:r>
        <w:rPr>
          <w:rFonts w:ascii="Times New Roman" w:eastAsia="Times New Roman" w:hAnsi="Times New Roman" w:cs="Times New Roman"/>
          <w:sz w:val="20"/>
          <w:szCs w:val="20"/>
          <w:lang w:eastAsia="fr-FR"/>
        </w:rPr>
        <w:t>. R² ajusté optimisé sur critère C</w:t>
      </w:r>
      <w:r w:rsidRPr="005C0E58">
        <w:rPr>
          <w:rFonts w:ascii="Times New Roman" w:eastAsia="Times New Roman" w:hAnsi="Times New Roman" w:cs="Times New Roman"/>
          <w:sz w:val="20"/>
          <w:szCs w:val="20"/>
          <w:lang w:eastAsia="fr-FR"/>
        </w:rPr>
        <w:t xml:space="preserve">p. </w:t>
      </w:r>
      <w:proofErr w:type="spellStart"/>
      <w:r w:rsidRPr="005C0E58">
        <w:rPr>
          <w:rFonts w:ascii="Times New Roman" w:eastAsia="Times New Roman" w:hAnsi="Times New Roman" w:cs="Times New Roman"/>
          <w:sz w:val="20"/>
          <w:szCs w:val="20"/>
          <w:lang w:eastAsia="fr-FR"/>
        </w:rPr>
        <w:t>Bootstrap</w:t>
      </w:r>
      <w:proofErr w:type="spellEnd"/>
      <w:r w:rsidRPr="005C0E58">
        <w:rPr>
          <w:rFonts w:ascii="Times New Roman" w:eastAsia="Times New Roman" w:hAnsi="Times New Roman" w:cs="Times New Roman"/>
          <w:sz w:val="20"/>
          <w:szCs w:val="20"/>
          <w:lang w:eastAsia="fr-FR"/>
        </w:rPr>
        <w:t xml:space="preserve"> de 500 itérations : intervalles de valeurs des coefficients [2,5% ; 97,5%].</w:t>
      </w:r>
      <w:r>
        <w:rPr>
          <w:rFonts w:ascii="Times New Roman" w:eastAsia="Times New Roman" w:hAnsi="Times New Roman" w:cs="Times New Roman"/>
          <w:sz w:val="20"/>
          <w:szCs w:val="20"/>
          <w:lang w:eastAsia="fr-FR"/>
        </w:rPr>
        <w:t xml:space="preserve"> </w:t>
      </w:r>
      <w:r w:rsidRPr="00A05AF8">
        <w:rPr>
          <w:rFonts w:ascii="Times New Roman" w:eastAsia="Times New Roman" w:hAnsi="Times New Roman" w:cs="Times New Roman"/>
          <w:sz w:val="20"/>
          <w:szCs w:val="20"/>
          <w:lang w:eastAsia="fr-FR"/>
        </w:rPr>
        <w:t xml:space="preserve">Le modèle écrémé retient 5 variables explicatives. Il est reproduit sur plusieurs sous-échantillons : UE / Hors UE ; Plus grande taille / Plus petite taille ; Hors banques chinoises ; Hors banques publiques. </w:t>
      </w:r>
      <w:r>
        <w:rPr>
          <w:rFonts w:ascii="Times New Roman" w:eastAsia="Times New Roman" w:hAnsi="Times New Roman" w:cs="Times New Roman"/>
          <w:b/>
          <w:sz w:val="20"/>
          <w:szCs w:val="20"/>
          <w:lang w:eastAsia="fr-FR"/>
        </w:rPr>
        <w:t xml:space="preserve">Données 2017-2020 </w:t>
      </w:r>
      <w:r>
        <w:rPr>
          <w:rFonts w:ascii="Times New Roman" w:eastAsia="Times New Roman" w:hAnsi="Times New Roman" w:cs="Times New Roman"/>
          <w:sz w:val="20"/>
          <w:szCs w:val="20"/>
          <w:lang w:eastAsia="fr-FR"/>
        </w:rPr>
        <w:t xml:space="preserve">: </w:t>
      </w:r>
      <w:r w:rsidRPr="00A6026B">
        <w:rPr>
          <w:rFonts w:ascii="Times New Roman" w:eastAsia="Times New Roman" w:hAnsi="Times New Roman" w:cs="Times New Roman"/>
          <w:i/>
          <w:sz w:val="20"/>
          <w:szCs w:val="20"/>
          <w:lang w:eastAsia="fr-FR"/>
        </w:rPr>
        <w:t>CDP</w:t>
      </w:r>
      <w:r>
        <w:rPr>
          <w:rFonts w:ascii="Times New Roman" w:eastAsia="Times New Roman" w:hAnsi="Times New Roman" w:cs="Times New Roman"/>
          <w:sz w:val="20"/>
          <w:szCs w:val="20"/>
          <w:lang w:eastAsia="fr-FR"/>
        </w:rPr>
        <w:t xml:space="preserve"> : score </w:t>
      </w:r>
      <w:proofErr w:type="spellStart"/>
      <w:r>
        <w:rPr>
          <w:rFonts w:ascii="Times New Roman" w:eastAsia="Times New Roman" w:hAnsi="Times New Roman" w:cs="Times New Roman"/>
          <w:sz w:val="20"/>
          <w:szCs w:val="20"/>
          <w:lang w:eastAsia="fr-FR"/>
        </w:rPr>
        <w:t>Carbon</w:t>
      </w:r>
      <w:proofErr w:type="spellEnd"/>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Disclosure</w:t>
      </w:r>
      <w:proofErr w:type="spellEnd"/>
      <w:r>
        <w:rPr>
          <w:rFonts w:ascii="Times New Roman" w:eastAsia="Times New Roman" w:hAnsi="Times New Roman" w:cs="Times New Roman"/>
          <w:sz w:val="20"/>
          <w:szCs w:val="20"/>
          <w:lang w:eastAsia="fr-FR"/>
        </w:rPr>
        <w:t xml:space="preserve"> (/8) Project</w:t>
      </w:r>
      <w:r w:rsidR="001A2BF4">
        <w:rPr>
          <w:rFonts w:ascii="Times New Roman" w:eastAsia="Times New Roman" w:hAnsi="Times New Roman" w:cs="Times New Roman"/>
          <w:sz w:val="20"/>
          <w:szCs w:val="20"/>
          <w:lang w:eastAsia="fr-FR"/>
        </w:rPr>
        <w:t xml:space="preserve">. </w:t>
      </w:r>
      <w:r w:rsidRPr="00040F24">
        <w:rPr>
          <w:rFonts w:ascii="Times New Roman" w:eastAsia="Times New Roman" w:hAnsi="Times New Roman" w:cs="Times New Roman"/>
          <w:b/>
          <w:sz w:val="20"/>
          <w:szCs w:val="20"/>
          <w:lang w:eastAsia="fr-FR"/>
        </w:rPr>
        <w:t>Données 2016-2019</w:t>
      </w:r>
      <w:r>
        <w:rPr>
          <w:rFonts w:ascii="Times New Roman" w:eastAsia="Times New Roman" w:hAnsi="Times New Roman" w:cs="Times New Roman"/>
          <w:sz w:val="20"/>
          <w:szCs w:val="20"/>
          <w:lang w:eastAsia="fr-FR"/>
        </w:rPr>
        <w:t xml:space="preserve"> : </w:t>
      </w:r>
      <w:r w:rsidRPr="00A6026B">
        <w:rPr>
          <w:rFonts w:ascii="Times New Roman" w:eastAsia="Times New Roman" w:hAnsi="Times New Roman" w:cs="Times New Roman"/>
          <w:i/>
          <w:sz w:val="20"/>
          <w:szCs w:val="20"/>
          <w:lang w:eastAsia="fr-FR"/>
        </w:rPr>
        <w:t>FEF</w:t>
      </w:r>
      <w:r>
        <w:rPr>
          <w:rFonts w:ascii="Times New Roman" w:eastAsia="Times New Roman" w:hAnsi="Times New Roman" w:cs="Times New Roman"/>
          <w:sz w:val="20"/>
          <w:szCs w:val="20"/>
          <w:lang w:eastAsia="fr-FR"/>
        </w:rPr>
        <w:t xml:space="preserve"> : Log du financement annuel aux entreprises des filières fossiles (2100 entreprises), performance environnementale ; </w:t>
      </w:r>
      <w:r w:rsidRPr="00A6026B">
        <w:rPr>
          <w:rFonts w:ascii="Times New Roman" w:eastAsia="Times New Roman" w:hAnsi="Times New Roman" w:cs="Times New Roman"/>
          <w:i/>
          <w:sz w:val="20"/>
          <w:szCs w:val="20"/>
          <w:lang w:eastAsia="fr-FR"/>
        </w:rPr>
        <w:t>CEF </w:t>
      </w:r>
      <w:r>
        <w:rPr>
          <w:rFonts w:ascii="Times New Roman" w:eastAsia="Times New Roman" w:hAnsi="Times New Roman" w:cs="Times New Roman"/>
          <w:sz w:val="20"/>
          <w:szCs w:val="20"/>
          <w:lang w:eastAsia="fr-FR"/>
        </w:rPr>
        <w:t xml:space="preserve">: Log du financement annuel aux entreprises (100 firmes) ayant des projets de développement dans les filières fossiles, performance environnementale ; </w:t>
      </w:r>
      <w:r w:rsidRPr="00A6026B">
        <w:rPr>
          <w:rFonts w:ascii="Times New Roman" w:eastAsia="Times New Roman" w:hAnsi="Times New Roman" w:cs="Times New Roman"/>
          <w:i/>
          <w:sz w:val="20"/>
          <w:szCs w:val="20"/>
          <w:lang w:eastAsia="fr-FR"/>
        </w:rPr>
        <w:t>TAILLE</w:t>
      </w:r>
      <w:r>
        <w:rPr>
          <w:rFonts w:ascii="Times New Roman" w:eastAsia="Times New Roman" w:hAnsi="Times New Roman" w:cs="Times New Roman"/>
          <w:sz w:val="20"/>
          <w:szCs w:val="20"/>
          <w:lang w:eastAsia="fr-FR"/>
        </w:rPr>
        <w:t xml:space="preserve"> : Log du total des actifs de la banque ; </w:t>
      </w:r>
      <w:r w:rsidRPr="00A6026B">
        <w:rPr>
          <w:rFonts w:ascii="Times New Roman" w:eastAsia="Times New Roman" w:hAnsi="Times New Roman" w:cs="Times New Roman"/>
          <w:i/>
          <w:sz w:val="20"/>
          <w:szCs w:val="20"/>
          <w:lang w:eastAsia="fr-FR"/>
        </w:rPr>
        <w:t>RENTA</w:t>
      </w:r>
      <w:r>
        <w:rPr>
          <w:rFonts w:ascii="Times New Roman" w:eastAsia="Times New Roman" w:hAnsi="Times New Roman" w:cs="Times New Roman"/>
          <w:sz w:val="20"/>
          <w:szCs w:val="20"/>
          <w:lang w:eastAsia="fr-FR"/>
        </w:rPr>
        <w:t xml:space="preserve"> : Return On </w:t>
      </w:r>
      <w:proofErr w:type="spellStart"/>
      <w:r>
        <w:rPr>
          <w:rFonts w:ascii="Times New Roman" w:eastAsia="Times New Roman" w:hAnsi="Times New Roman" w:cs="Times New Roman"/>
          <w:sz w:val="20"/>
          <w:szCs w:val="20"/>
          <w:lang w:eastAsia="fr-FR"/>
        </w:rPr>
        <w:t>Assets</w:t>
      </w:r>
      <w:proofErr w:type="spellEnd"/>
      <w:r>
        <w:rPr>
          <w:rFonts w:ascii="Times New Roman" w:eastAsia="Times New Roman" w:hAnsi="Times New Roman" w:cs="Times New Roman"/>
          <w:sz w:val="20"/>
          <w:szCs w:val="20"/>
          <w:lang w:eastAsia="fr-FR"/>
        </w:rPr>
        <w:t xml:space="preserve"> (ROA) de la banque, en % ; COT : nombre de places boursières sur lesquelles la banque est cotée (valeur fixe sur la période 2016-2019) ; </w:t>
      </w:r>
      <w:r w:rsidRPr="00A6026B">
        <w:rPr>
          <w:rFonts w:ascii="Times New Roman" w:eastAsia="Times New Roman" w:hAnsi="Times New Roman" w:cs="Times New Roman"/>
          <w:i/>
          <w:sz w:val="20"/>
          <w:szCs w:val="20"/>
          <w:lang w:eastAsia="fr-FR"/>
        </w:rPr>
        <w:t>EPI </w:t>
      </w:r>
      <w:r>
        <w:rPr>
          <w:rFonts w:ascii="Times New Roman" w:eastAsia="Times New Roman" w:hAnsi="Times New Roman" w:cs="Times New Roman"/>
          <w:sz w:val="20"/>
          <w:szCs w:val="20"/>
          <w:lang w:eastAsia="fr-FR"/>
        </w:rPr>
        <w:t xml:space="preserve">: indice de performance environnementale du pays d’origine de la banque (/100) ; </w:t>
      </w:r>
      <w:r w:rsidR="00A6026B" w:rsidRPr="00A6026B">
        <w:rPr>
          <w:rFonts w:ascii="Times New Roman" w:eastAsia="Times New Roman" w:hAnsi="Times New Roman" w:cs="Times New Roman"/>
          <w:i/>
          <w:sz w:val="20"/>
          <w:szCs w:val="20"/>
          <w:lang w:eastAsia="fr-FR"/>
        </w:rPr>
        <w:t>EUR</w:t>
      </w:r>
      <w:r w:rsidR="00A6026B">
        <w:rPr>
          <w:rFonts w:ascii="Times New Roman" w:eastAsia="Times New Roman" w:hAnsi="Times New Roman" w:cs="Times New Roman"/>
          <w:sz w:val="20"/>
          <w:szCs w:val="20"/>
          <w:lang w:eastAsia="fr-FR"/>
        </w:rPr>
        <w:t xml:space="preserve"> : variable dichotomique, =1 si le pays d’origine de la banque appartient à l’UE, 0 sinon ; </w:t>
      </w:r>
      <w:r w:rsidRPr="00A6026B">
        <w:rPr>
          <w:rFonts w:ascii="Times New Roman" w:eastAsia="Times New Roman" w:hAnsi="Times New Roman" w:cs="Times New Roman"/>
          <w:i/>
          <w:sz w:val="20"/>
          <w:szCs w:val="20"/>
          <w:lang w:eastAsia="fr-FR"/>
        </w:rPr>
        <w:t>ANNEE</w:t>
      </w:r>
      <w:r>
        <w:rPr>
          <w:rFonts w:ascii="Times New Roman" w:eastAsia="Times New Roman" w:hAnsi="Times New Roman" w:cs="Times New Roman"/>
          <w:sz w:val="20"/>
          <w:szCs w:val="20"/>
          <w:lang w:eastAsia="fr-FR"/>
        </w:rPr>
        <w:t> : variable codée de 1 à 4 (années de la période 2016-2019).</w:t>
      </w:r>
    </w:p>
    <w:p w:rsidR="00E7422D" w:rsidRDefault="00E05A88" w:rsidP="00E7422D">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 tableau 7</w:t>
      </w:r>
      <w:r w:rsidR="004F4428">
        <w:rPr>
          <w:rFonts w:ascii="Times New Roman" w:eastAsia="Times New Roman" w:hAnsi="Times New Roman" w:cs="Times New Roman"/>
          <w:bCs/>
          <w:kern w:val="36"/>
          <w:sz w:val="24"/>
          <w:szCs w:val="24"/>
          <w:lang w:eastAsia="fr-FR"/>
        </w:rPr>
        <w:t xml:space="preserve"> détaille</w:t>
      </w:r>
      <w:r w:rsidR="00E7422D">
        <w:rPr>
          <w:rFonts w:ascii="Times New Roman" w:eastAsia="Times New Roman" w:hAnsi="Times New Roman" w:cs="Times New Roman"/>
          <w:bCs/>
          <w:kern w:val="36"/>
          <w:sz w:val="24"/>
          <w:szCs w:val="24"/>
          <w:lang w:eastAsia="fr-FR"/>
        </w:rPr>
        <w:t xml:space="preserve"> les résultats pour la variable </w:t>
      </w:r>
      <w:r w:rsidR="001A2BF4">
        <w:rPr>
          <w:rFonts w:ascii="Times New Roman" w:eastAsia="Times New Roman" w:hAnsi="Times New Roman" w:cs="Times New Roman"/>
          <w:bCs/>
          <w:i/>
          <w:kern w:val="36"/>
          <w:sz w:val="24"/>
          <w:szCs w:val="24"/>
          <w:lang w:eastAsia="fr-FR"/>
        </w:rPr>
        <w:t>PIE</w:t>
      </w:r>
      <w:r w:rsidR="00E7422D">
        <w:rPr>
          <w:rFonts w:ascii="Times New Roman" w:eastAsia="Times New Roman" w:hAnsi="Times New Roman" w:cs="Times New Roman"/>
          <w:bCs/>
          <w:i/>
          <w:kern w:val="36"/>
          <w:sz w:val="24"/>
          <w:szCs w:val="24"/>
          <w:lang w:eastAsia="fr-FR"/>
        </w:rPr>
        <w:t xml:space="preserve"> </w:t>
      </w:r>
      <w:r w:rsidR="00E7422D">
        <w:rPr>
          <w:rFonts w:ascii="Times New Roman" w:eastAsia="Times New Roman" w:hAnsi="Times New Roman" w:cs="Times New Roman"/>
          <w:bCs/>
          <w:kern w:val="36"/>
          <w:sz w:val="24"/>
          <w:szCs w:val="24"/>
          <w:lang w:eastAsia="fr-FR"/>
        </w:rPr>
        <w:t xml:space="preserve">mesurant le volume de la DVI environnementale. La méthode retient 5 variables indépendantes : </w:t>
      </w:r>
      <w:r w:rsidR="00E7422D">
        <w:rPr>
          <w:rFonts w:ascii="Times New Roman" w:eastAsia="Times New Roman" w:hAnsi="Times New Roman" w:cs="Times New Roman"/>
          <w:bCs/>
          <w:i/>
          <w:kern w:val="36"/>
          <w:sz w:val="24"/>
          <w:szCs w:val="24"/>
          <w:lang w:eastAsia="fr-FR"/>
        </w:rPr>
        <w:t>F</w:t>
      </w:r>
      <w:r w:rsidR="00E7422D" w:rsidRPr="00D816AC">
        <w:rPr>
          <w:rFonts w:ascii="Times New Roman" w:eastAsia="Times New Roman" w:hAnsi="Times New Roman" w:cs="Times New Roman"/>
          <w:bCs/>
          <w:i/>
          <w:kern w:val="36"/>
          <w:sz w:val="24"/>
          <w:szCs w:val="24"/>
          <w:lang w:eastAsia="fr-FR"/>
        </w:rPr>
        <w:t>EF</w:t>
      </w:r>
      <w:r w:rsidR="00E7422D">
        <w:rPr>
          <w:rFonts w:ascii="Times New Roman" w:eastAsia="Times New Roman" w:hAnsi="Times New Roman" w:cs="Times New Roman"/>
          <w:bCs/>
          <w:kern w:val="36"/>
          <w:sz w:val="24"/>
          <w:szCs w:val="24"/>
          <w:lang w:eastAsia="fr-FR"/>
        </w:rPr>
        <w:t xml:space="preserve">, </w:t>
      </w:r>
      <w:r w:rsidR="00E7422D" w:rsidRPr="00E7422D">
        <w:rPr>
          <w:rFonts w:ascii="Times New Roman" w:eastAsia="Times New Roman" w:hAnsi="Times New Roman" w:cs="Times New Roman"/>
          <w:bCs/>
          <w:i/>
          <w:kern w:val="36"/>
          <w:sz w:val="24"/>
          <w:szCs w:val="24"/>
          <w:lang w:eastAsia="fr-FR"/>
        </w:rPr>
        <w:t>RENTA</w:t>
      </w:r>
      <w:r w:rsidR="00E7422D">
        <w:rPr>
          <w:rFonts w:ascii="Times New Roman" w:eastAsia="Times New Roman" w:hAnsi="Times New Roman" w:cs="Times New Roman"/>
          <w:bCs/>
          <w:kern w:val="36"/>
          <w:sz w:val="24"/>
          <w:szCs w:val="24"/>
          <w:lang w:eastAsia="fr-FR"/>
        </w:rPr>
        <w:t xml:space="preserve">, </w:t>
      </w:r>
      <w:r w:rsidR="00E7422D">
        <w:rPr>
          <w:rFonts w:ascii="Times New Roman" w:eastAsia="Times New Roman" w:hAnsi="Times New Roman" w:cs="Times New Roman"/>
          <w:bCs/>
          <w:i/>
          <w:kern w:val="36"/>
          <w:sz w:val="24"/>
          <w:szCs w:val="24"/>
          <w:lang w:eastAsia="fr-FR"/>
        </w:rPr>
        <w:t>COT</w:t>
      </w:r>
      <w:r w:rsidR="00E7422D">
        <w:rPr>
          <w:rFonts w:ascii="Times New Roman" w:eastAsia="Times New Roman" w:hAnsi="Times New Roman" w:cs="Times New Roman"/>
          <w:bCs/>
          <w:kern w:val="36"/>
          <w:sz w:val="24"/>
          <w:szCs w:val="24"/>
          <w:lang w:eastAsia="fr-FR"/>
        </w:rPr>
        <w:t xml:space="preserve">, </w:t>
      </w:r>
      <w:r w:rsidR="00E7422D" w:rsidRPr="00D816AC">
        <w:rPr>
          <w:rFonts w:ascii="Times New Roman" w:eastAsia="Times New Roman" w:hAnsi="Times New Roman" w:cs="Times New Roman"/>
          <w:bCs/>
          <w:i/>
          <w:kern w:val="36"/>
          <w:sz w:val="24"/>
          <w:szCs w:val="24"/>
          <w:lang w:eastAsia="fr-FR"/>
        </w:rPr>
        <w:t>EUR</w:t>
      </w:r>
      <w:r w:rsidR="00E7422D">
        <w:rPr>
          <w:rFonts w:ascii="Times New Roman" w:eastAsia="Times New Roman" w:hAnsi="Times New Roman" w:cs="Times New Roman"/>
          <w:bCs/>
          <w:kern w:val="36"/>
          <w:sz w:val="24"/>
          <w:szCs w:val="24"/>
          <w:lang w:eastAsia="fr-FR"/>
        </w:rPr>
        <w:t xml:space="preserve"> et </w:t>
      </w:r>
      <w:r w:rsidR="00E7422D" w:rsidRPr="00D816AC">
        <w:rPr>
          <w:rFonts w:ascii="Times New Roman" w:eastAsia="Times New Roman" w:hAnsi="Times New Roman" w:cs="Times New Roman"/>
          <w:bCs/>
          <w:i/>
          <w:kern w:val="36"/>
          <w:sz w:val="24"/>
          <w:szCs w:val="24"/>
          <w:lang w:eastAsia="fr-FR"/>
        </w:rPr>
        <w:t>ANNEE</w:t>
      </w:r>
      <w:r w:rsidR="00E7422D">
        <w:rPr>
          <w:rFonts w:ascii="Times New Roman" w:eastAsia="Times New Roman" w:hAnsi="Times New Roman" w:cs="Times New Roman"/>
          <w:bCs/>
          <w:kern w:val="36"/>
          <w:sz w:val="24"/>
          <w:szCs w:val="24"/>
          <w:lang w:eastAsia="fr-FR"/>
        </w:rPr>
        <w:t xml:space="preserve">. Les coefficients de la variable </w:t>
      </w:r>
      <w:r w:rsidR="00E7422D" w:rsidRPr="00E7422D">
        <w:rPr>
          <w:rFonts w:ascii="Times New Roman" w:eastAsia="Times New Roman" w:hAnsi="Times New Roman" w:cs="Times New Roman"/>
          <w:bCs/>
          <w:i/>
          <w:kern w:val="36"/>
          <w:sz w:val="24"/>
          <w:szCs w:val="24"/>
          <w:lang w:eastAsia="fr-FR"/>
        </w:rPr>
        <w:t>FEF</w:t>
      </w:r>
      <w:r w:rsidR="00E7422D">
        <w:rPr>
          <w:rFonts w:ascii="Times New Roman" w:eastAsia="Times New Roman" w:hAnsi="Times New Roman" w:cs="Times New Roman"/>
          <w:bCs/>
          <w:kern w:val="36"/>
          <w:sz w:val="24"/>
          <w:szCs w:val="24"/>
          <w:lang w:eastAsia="fr-FR"/>
        </w:rPr>
        <w:t xml:space="preserve"> sont positifs, stables après </w:t>
      </w:r>
      <w:proofErr w:type="spellStart"/>
      <w:r w:rsidR="00E7422D" w:rsidRPr="00335CEF">
        <w:rPr>
          <w:rFonts w:ascii="Times New Roman" w:eastAsia="Times New Roman" w:hAnsi="Times New Roman" w:cs="Times New Roman"/>
          <w:bCs/>
          <w:i/>
          <w:kern w:val="36"/>
          <w:sz w:val="24"/>
          <w:szCs w:val="24"/>
          <w:lang w:eastAsia="fr-FR"/>
        </w:rPr>
        <w:t>Bootstrap</w:t>
      </w:r>
      <w:proofErr w:type="spellEnd"/>
      <w:r w:rsidR="00E7422D">
        <w:rPr>
          <w:rFonts w:ascii="Times New Roman" w:eastAsia="Times New Roman" w:hAnsi="Times New Roman" w:cs="Times New Roman"/>
          <w:bCs/>
          <w:kern w:val="36"/>
          <w:sz w:val="24"/>
          <w:szCs w:val="24"/>
          <w:lang w:eastAsia="fr-FR"/>
        </w:rPr>
        <w:t xml:space="preserve"> et significatifs quelle que soit la spécification, à l’exception du sous-échantillon des banques hors UE (le R² de ce mo</w:t>
      </w:r>
      <w:r w:rsidR="001238DD">
        <w:rPr>
          <w:rFonts w:ascii="Times New Roman" w:eastAsia="Times New Roman" w:hAnsi="Times New Roman" w:cs="Times New Roman"/>
          <w:bCs/>
          <w:kern w:val="36"/>
          <w:sz w:val="24"/>
          <w:szCs w:val="24"/>
          <w:lang w:eastAsia="fr-FR"/>
        </w:rPr>
        <w:t>dèle chute d’ailleurs d’environ</w:t>
      </w:r>
      <w:r w:rsidR="00E7422D">
        <w:rPr>
          <w:rFonts w:ascii="Times New Roman" w:eastAsia="Times New Roman" w:hAnsi="Times New Roman" w:cs="Times New Roman"/>
          <w:bCs/>
          <w:kern w:val="36"/>
          <w:sz w:val="24"/>
          <w:szCs w:val="24"/>
          <w:lang w:eastAsia="fr-FR"/>
        </w:rPr>
        <w:t xml:space="preserve"> 0,3 par rapport aux autres : </w:t>
      </w:r>
      <w:r w:rsidR="00E7422D" w:rsidRPr="00E7422D">
        <w:rPr>
          <w:rFonts w:ascii="Times New Roman" w:eastAsia="Times New Roman" w:hAnsi="Times New Roman" w:cs="Times New Roman"/>
          <w:bCs/>
          <w:i/>
          <w:kern w:val="36"/>
          <w:sz w:val="24"/>
          <w:szCs w:val="24"/>
          <w:lang w:eastAsia="fr-FR"/>
        </w:rPr>
        <w:t>FEF</w:t>
      </w:r>
      <w:r w:rsidR="00E7422D">
        <w:rPr>
          <w:rFonts w:ascii="Times New Roman" w:eastAsia="Times New Roman" w:hAnsi="Times New Roman" w:cs="Times New Roman"/>
          <w:bCs/>
          <w:kern w:val="36"/>
          <w:sz w:val="24"/>
          <w:szCs w:val="24"/>
          <w:lang w:eastAsia="fr-FR"/>
        </w:rPr>
        <w:t xml:space="preserve"> possède donc un véritable pouvoir explicatif). Cette conclusion confirme à nouveau l’hypothèse de légitimité : l’augmentation du financement accordé aux filières fossiles provoque une augment</w:t>
      </w:r>
      <w:r>
        <w:rPr>
          <w:rFonts w:ascii="Times New Roman" w:eastAsia="Times New Roman" w:hAnsi="Times New Roman" w:cs="Times New Roman"/>
          <w:bCs/>
          <w:kern w:val="36"/>
          <w:sz w:val="24"/>
          <w:szCs w:val="24"/>
          <w:lang w:eastAsia="fr-FR"/>
        </w:rPr>
        <w:t>ation du nombre d’engagements environnementaux</w:t>
      </w:r>
      <w:r w:rsidR="00E7422D">
        <w:rPr>
          <w:rFonts w:ascii="Times New Roman" w:eastAsia="Times New Roman" w:hAnsi="Times New Roman" w:cs="Times New Roman"/>
          <w:bCs/>
          <w:kern w:val="36"/>
          <w:sz w:val="24"/>
          <w:szCs w:val="24"/>
          <w:lang w:eastAsia="fr-FR"/>
        </w:rPr>
        <w:t xml:space="preserve"> des banques. Ce résultat est cohérent avec ceux</w:t>
      </w:r>
      <w:r w:rsidR="00335CEF">
        <w:rPr>
          <w:rFonts w:ascii="Times New Roman" w:eastAsia="Times New Roman" w:hAnsi="Times New Roman" w:cs="Times New Roman"/>
          <w:bCs/>
          <w:kern w:val="36"/>
          <w:sz w:val="24"/>
          <w:szCs w:val="24"/>
          <w:lang w:eastAsia="fr-FR"/>
        </w:rPr>
        <w:t xml:space="preserve"> des tests de Patten (1992), de Cho et al. (2006), de </w:t>
      </w:r>
      <w:proofErr w:type="spellStart"/>
      <w:r w:rsidR="00335CEF">
        <w:rPr>
          <w:rFonts w:ascii="Times New Roman" w:eastAsia="Times New Roman" w:hAnsi="Times New Roman" w:cs="Times New Roman"/>
          <w:bCs/>
          <w:kern w:val="36"/>
          <w:sz w:val="24"/>
          <w:szCs w:val="24"/>
          <w:lang w:eastAsia="fr-FR"/>
        </w:rPr>
        <w:t>Luo</w:t>
      </w:r>
      <w:proofErr w:type="spellEnd"/>
      <w:r w:rsidR="00335CEF">
        <w:rPr>
          <w:rFonts w:ascii="Times New Roman" w:eastAsia="Times New Roman" w:hAnsi="Times New Roman" w:cs="Times New Roman"/>
          <w:bCs/>
          <w:kern w:val="36"/>
          <w:sz w:val="24"/>
          <w:szCs w:val="24"/>
          <w:lang w:eastAsia="fr-FR"/>
        </w:rPr>
        <w:t xml:space="preserve"> (2019) et de </w:t>
      </w:r>
      <w:proofErr w:type="spellStart"/>
      <w:r w:rsidR="00335CEF">
        <w:rPr>
          <w:rFonts w:ascii="Times New Roman" w:eastAsia="Times New Roman" w:hAnsi="Times New Roman" w:cs="Times New Roman"/>
          <w:bCs/>
          <w:kern w:val="36"/>
          <w:sz w:val="24"/>
          <w:szCs w:val="24"/>
          <w:lang w:eastAsia="fr-FR"/>
        </w:rPr>
        <w:t>Cong</w:t>
      </w:r>
      <w:proofErr w:type="spellEnd"/>
      <w:r w:rsidR="00335CEF">
        <w:rPr>
          <w:rFonts w:ascii="Times New Roman" w:eastAsia="Times New Roman" w:hAnsi="Times New Roman" w:cs="Times New Roman"/>
          <w:bCs/>
          <w:kern w:val="36"/>
          <w:sz w:val="24"/>
          <w:szCs w:val="24"/>
          <w:lang w:eastAsia="fr-FR"/>
        </w:rPr>
        <w:t xml:space="preserve"> et al. (2020) avec des mesures variées de performance environnementale des firmes, hors secteur bancaire : indice KLD (MSCI), émissions recensées dans les rapports CDP, émissions recensées dans les rapports EPA ou les sites Web.</w:t>
      </w:r>
    </w:p>
    <w:p w:rsidR="00E05A88" w:rsidRDefault="00335CEF" w:rsidP="006D3A4C">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La mesure de rentabilité présente un signe négatif significatif dans t</w:t>
      </w:r>
      <w:r w:rsidR="006D3A4C">
        <w:rPr>
          <w:rFonts w:ascii="Times New Roman" w:eastAsia="Times New Roman" w:hAnsi="Times New Roman" w:cs="Times New Roman"/>
          <w:bCs/>
          <w:kern w:val="36"/>
          <w:sz w:val="24"/>
          <w:szCs w:val="24"/>
          <w:lang w:eastAsia="fr-FR"/>
        </w:rPr>
        <w:t xml:space="preserve">ous les modèles </w:t>
      </w:r>
      <w:r>
        <w:rPr>
          <w:rFonts w:ascii="Times New Roman" w:eastAsia="Times New Roman" w:hAnsi="Times New Roman" w:cs="Times New Roman"/>
          <w:bCs/>
          <w:kern w:val="36"/>
          <w:sz w:val="24"/>
          <w:szCs w:val="24"/>
          <w:lang w:eastAsia="fr-FR"/>
        </w:rPr>
        <w:t xml:space="preserve">alors que la littérature prévoit une relation positive : les firmes les plus rentables absorbent plus </w:t>
      </w:r>
      <w:r>
        <w:rPr>
          <w:rFonts w:ascii="Times New Roman" w:eastAsia="Times New Roman" w:hAnsi="Times New Roman" w:cs="Times New Roman"/>
          <w:bCs/>
          <w:kern w:val="36"/>
          <w:sz w:val="24"/>
          <w:szCs w:val="24"/>
          <w:lang w:eastAsia="fr-FR"/>
        </w:rPr>
        <w:lastRenderedPageBreak/>
        <w:t>facilement les coûts de collecte et de diffusion d’information extra-financière. Les résultats des tests précéden</w:t>
      </w:r>
      <w:r w:rsidR="006D3A4C">
        <w:rPr>
          <w:rFonts w:ascii="Times New Roman" w:eastAsia="Times New Roman" w:hAnsi="Times New Roman" w:cs="Times New Roman"/>
          <w:bCs/>
          <w:kern w:val="36"/>
          <w:sz w:val="24"/>
          <w:szCs w:val="24"/>
          <w:lang w:eastAsia="fr-FR"/>
        </w:rPr>
        <w:t>ts</w:t>
      </w:r>
      <w:r>
        <w:rPr>
          <w:rFonts w:ascii="Times New Roman" w:eastAsia="Times New Roman" w:hAnsi="Times New Roman" w:cs="Times New Roman"/>
          <w:bCs/>
          <w:kern w:val="36"/>
          <w:sz w:val="24"/>
          <w:szCs w:val="24"/>
          <w:lang w:eastAsia="fr-FR"/>
        </w:rPr>
        <w:t xml:space="preserve"> sont ambigus : signe négatif pour Bose et al.</w:t>
      </w:r>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2017</w:t>
      </w:r>
      <w:r w:rsidR="006D3A4C">
        <w:rPr>
          <w:rFonts w:ascii="Times New Roman" w:eastAsia="Times New Roman" w:hAnsi="Times New Roman" w:cs="Times New Roman"/>
          <w:bCs/>
          <w:kern w:val="36"/>
          <w:sz w:val="24"/>
          <w:szCs w:val="24"/>
          <w:lang w:eastAsia="fr-FR"/>
        </w:rPr>
        <w:t>)</w:t>
      </w:r>
      <w:r>
        <w:rPr>
          <w:rFonts w:ascii="Times New Roman" w:eastAsia="Times New Roman" w:hAnsi="Times New Roman" w:cs="Times New Roman"/>
          <w:bCs/>
          <w:kern w:val="36"/>
          <w:sz w:val="24"/>
          <w:szCs w:val="24"/>
          <w:lang w:eastAsia="fr-FR"/>
        </w:rPr>
        <w:t xml:space="preserve"> et </w:t>
      </w:r>
      <w:proofErr w:type="spellStart"/>
      <w:r>
        <w:rPr>
          <w:rFonts w:ascii="Times New Roman" w:eastAsia="Times New Roman" w:hAnsi="Times New Roman" w:cs="Times New Roman"/>
          <w:bCs/>
          <w:kern w:val="36"/>
          <w:sz w:val="24"/>
          <w:szCs w:val="24"/>
          <w:lang w:eastAsia="fr-FR"/>
        </w:rPr>
        <w:t>Zanga</w:t>
      </w:r>
      <w:proofErr w:type="spellEnd"/>
      <w:r>
        <w:rPr>
          <w:rFonts w:ascii="Times New Roman" w:eastAsia="Times New Roman" w:hAnsi="Times New Roman" w:cs="Times New Roman"/>
          <w:bCs/>
          <w:kern w:val="36"/>
          <w:sz w:val="24"/>
          <w:szCs w:val="24"/>
          <w:lang w:eastAsia="fr-FR"/>
        </w:rPr>
        <w:t xml:space="preserve"> </w:t>
      </w:r>
      <w:proofErr w:type="spellStart"/>
      <w:r>
        <w:rPr>
          <w:rFonts w:ascii="Times New Roman" w:eastAsia="Times New Roman" w:hAnsi="Times New Roman" w:cs="Times New Roman"/>
          <w:bCs/>
          <w:kern w:val="36"/>
          <w:sz w:val="24"/>
          <w:szCs w:val="24"/>
          <w:lang w:eastAsia="fr-FR"/>
        </w:rPr>
        <w:t>Ongbwa</w:t>
      </w:r>
      <w:proofErr w:type="spellEnd"/>
      <w:r w:rsidRPr="001845C0">
        <w:rPr>
          <w:rFonts w:ascii="Times New Roman" w:eastAsia="Times New Roman" w:hAnsi="Times New Roman" w:cs="Times New Roman"/>
          <w:bCs/>
          <w:kern w:val="36"/>
          <w:sz w:val="24"/>
          <w:szCs w:val="24"/>
          <w:lang w:eastAsia="fr-FR"/>
        </w:rPr>
        <w:t xml:space="preserve"> </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2019</w:t>
      </w:r>
      <w:r>
        <w:rPr>
          <w:rFonts w:ascii="Times New Roman" w:eastAsia="Times New Roman" w:hAnsi="Times New Roman" w:cs="Times New Roman"/>
          <w:bCs/>
          <w:kern w:val="36"/>
          <w:sz w:val="24"/>
          <w:szCs w:val="24"/>
          <w:lang w:eastAsia="fr-FR"/>
        </w:rPr>
        <w:t>)</w:t>
      </w:r>
      <w:r w:rsidRPr="001845C0">
        <w:rPr>
          <w:rFonts w:ascii="Times New Roman" w:eastAsia="Times New Roman" w:hAnsi="Times New Roman" w:cs="Times New Roman"/>
          <w:bCs/>
          <w:kern w:val="36"/>
          <w:sz w:val="24"/>
          <w:szCs w:val="24"/>
          <w:lang w:eastAsia="fr-FR"/>
        </w:rPr>
        <w:t xml:space="preserve">, </w:t>
      </w:r>
      <w:r w:rsidR="006D3A4C">
        <w:rPr>
          <w:rFonts w:ascii="Times New Roman" w:eastAsia="Times New Roman" w:hAnsi="Times New Roman" w:cs="Times New Roman"/>
          <w:bCs/>
          <w:kern w:val="36"/>
          <w:sz w:val="24"/>
          <w:szCs w:val="24"/>
          <w:lang w:eastAsia="fr-FR"/>
        </w:rPr>
        <w:t xml:space="preserve">signe positif pour </w:t>
      </w:r>
      <w:proofErr w:type="spellStart"/>
      <w:r w:rsidR="006D3A4C">
        <w:rPr>
          <w:rFonts w:ascii="Times New Roman" w:eastAsia="Times New Roman" w:hAnsi="Times New Roman" w:cs="Times New Roman"/>
          <w:bCs/>
          <w:kern w:val="36"/>
          <w:sz w:val="24"/>
          <w:szCs w:val="24"/>
          <w:lang w:eastAsia="fr-FR"/>
        </w:rPr>
        <w:t>Caby</w:t>
      </w:r>
      <w:proofErr w:type="spellEnd"/>
      <w:r w:rsidR="006D3A4C">
        <w:rPr>
          <w:rFonts w:ascii="Times New Roman" w:eastAsia="Times New Roman" w:hAnsi="Times New Roman" w:cs="Times New Roman"/>
          <w:bCs/>
          <w:kern w:val="36"/>
          <w:sz w:val="24"/>
          <w:szCs w:val="24"/>
          <w:lang w:eastAsia="fr-FR"/>
        </w:rPr>
        <w:t xml:space="preserve"> et al. (2020)</w:t>
      </w:r>
      <w:r w:rsidRPr="001845C0">
        <w:rPr>
          <w:rFonts w:ascii="Times New Roman" w:eastAsia="Times New Roman" w:hAnsi="Times New Roman" w:cs="Times New Roman"/>
          <w:bCs/>
          <w:kern w:val="36"/>
          <w:sz w:val="24"/>
          <w:szCs w:val="24"/>
          <w:lang w:eastAsia="fr-FR"/>
        </w:rPr>
        <w:t xml:space="preserve">. </w:t>
      </w:r>
      <w:r w:rsidR="006D3A4C">
        <w:rPr>
          <w:rFonts w:ascii="Times New Roman" w:eastAsia="Times New Roman" w:hAnsi="Times New Roman" w:cs="Times New Roman"/>
          <w:bCs/>
          <w:kern w:val="36"/>
          <w:sz w:val="24"/>
          <w:szCs w:val="24"/>
          <w:lang w:eastAsia="fr-FR"/>
        </w:rPr>
        <w:t xml:space="preserve">Pour la variable </w:t>
      </w:r>
      <w:r w:rsidR="006D3A4C" w:rsidRPr="006D3A4C">
        <w:rPr>
          <w:rFonts w:ascii="Times New Roman" w:eastAsia="Times New Roman" w:hAnsi="Times New Roman" w:cs="Times New Roman"/>
          <w:bCs/>
          <w:i/>
          <w:kern w:val="36"/>
          <w:sz w:val="24"/>
          <w:szCs w:val="24"/>
          <w:lang w:eastAsia="fr-FR"/>
        </w:rPr>
        <w:t>COT</w:t>
      </w:r>
      <w:r w:rsidR="006D3A4C">
        <w:rPr>
          <w:rFonts w:ascii="Times New Roman" w:eastAsia="Times New Roman" w:hAnsi="Times New Roman" w:cs="Times New Roman"/>
          <w:bCs/>
          <w:i/>
          <w:kern w:val="36"/>
          <w:sz w:val="24"/>
          <w:szCs w:val="24"/>
          <w:lang w:eastAsia="fr-FR"/>
        </w:rPr>
        <w:t xml:space="preserve"> </w:t>
      </w:r>
      <w:r w:rsidR="006D3A4C">
        <w:rPr>
          <w:rFonts w:ascii="Times New Roman" w:eastAsia="Times New Roman" w:hAnsi="Times New Roman" w:cs="Times New Roman"/>
          <w:bCs/>
          <w:kern w:val="36"/>
          <w:sz w:val="24"/>
          <w:szCs w:val="24"/>
          <w:lang w:eastAsia="fr-FR"/>
        </w:rPr>
        <w:t xml:space="preserve">reflétant le nombre de cotations des banques de l’échantillon, la relation est négative dans la plupart des modèles mais elle demeure fragile : non significative après </w:t>
      </w:r>
      <w:proofErr w:type="spellStart"/>
      <w:r w:rsidR="006D3A4C" w:rsidRPr="006D3A4C">
        <w:rPr>
          <w:rFonts w:ascii="Times New Roman" w:eastAsia="Times New Roman" w:hAnsi="Times New Roman" w:cs="Times New Roman"/>
          <w:bCs/>
          <w:i/>
          <w:kern w:val="36"/>
          <w:sz w:val="24"/>
          <w:szCs w:val="24"/>
          <w:lang w:eastAsia="fr-FR"/>
        </w:rPr>
        <w:t>Bootstrap</w:t>
      </w:r>
      <w:proofErr w:type="spellEnd"/>
      <w:r w:rsidR="006D3A4C">
        <w:rPr>
          <w:rFonts w:ascii="Times New Roman" w:eastAsia="Times New Roman" w:hAnsi="Times New Roman" w:cs="Times New Roman"/>
          <w:bCs/>
          <w:kern w:val="36"/>
          <w:sz w:val="24"/>
          <w:szCs w:val="24"/>
          <w:lang w:eastAsia="fr-FR"/>
        </w:rPr>
        <w:t xml:space="preserve"> et pour les banques de petite taille, positive pour les banques non européennes. Pourtant, l’impact positif de la cotation simple ou multiple semble faire consensus dans la littérature (</w:t>
      </w:r>
      <w:proofErr w:type="spellStart"/>
      <w:r w:rsidR="006D3A4C">
        <w:rPr>
          <w:rFonts w:ascii="Times New Roman" w:eastAsia="Times New Roman" w:hAnsi="Times New Roman" w:cs="Times New Roman"/>
          <w:bCs/>
          <w:kern w:val="36"/>
          <w:sz w:val="24"/>
          <w:szCs w:val="24"/>
          <w:lang w:eastAsia="fr-FR"/>
        </w:rPr>
        <w:t>Hossain</w:t>
      </w:r>
      <w:proofErr w:type="spellEnd"/>
      <w:r w:rsidR="006D3A4C">
        <w:rPr>
          <w:rFonts w:ascii="Times New Roman" w:eastAsia="Times New Roman" w:hAnsi="Times New Roman" w:cs="Times New Roman"/>
          <w:bCs/>
          <w:kern w:val="36"/>
          <w:sz w:val="24"/>
          <w:szCs w:val="24"/>
          <w:lang w:eastAsia="fr-FR"/>
        </w:rPr>
        <w:t xml:space="preserve"> et </w:t>
      </w:r>
      <w:proofErr w:type="spellStart"/>
      <w:r w:rsidR="006D3A4C">
        <w:rPr>
          <w:rFonts w:ascii="Times New Roman" w:eastAsia="Times New Roman" w:hAnsi="Times New Roman" w:cs="Times New Roman"/>
          <w:bCs/>
          <w:kern w:val="36"/>
          <w:sz w:val="24"/>
          <w:szCs w:val="24"/>
          <w:lang w:eastAsia="fr-FR"/>
        </w:rPr>
        <w:t>Reaz</w:t>
      </w:r>
      <w:proofErr w:type="spellEnd"/>
      <w:r w:rsidR="006D3A4C" w:rsidRPr="001845C0">
        <w:rPr>
          <w:rFonts w:ascii="Times New Roman" w:eastAsia="Times New Roman" w:hAnsi="Times New Roman" w:cs="Times New Roman"/>
          <w:bCs/>
          <w:kern w:val="36"/>
          <w:sz w:val="24"/>
          <w:szCs w:val="24"/>
          <w:lang w:eastAsia="fr-FR"/>
        </w:rPr>
        <w:t xml:space="preserve"> 2007</w:t>
      </w:r>
      <w:r w:rsidR="006D3A4C">
        <w:rPr>
          <w:rFonts w:ascii="Times New Roman" w:eastAsia="Times New Roman" w:hAnsi="Times New Roman" w:cs="Times New Roman"/>
          <w:bCs/>
          <w:kern w:val="36"/>
          <w:sz w:val="24"/>
          <w:szCs w:val="24"/>
          <w:lang w:eastAsia="fr-FR"/>
        </w:rPr>
        <w:t xml:space="preserve"> ; </w:t>
      </w:r>
      <w:proofErr w:type="spellStart"/>
      <w:r w:rsidR="006D3A4C">
        <w:rPr>
          <w:rFonts w:ascii="Times New Roman" w:eastAsia="Times New Roman" w:hAnsi="Times New Roman" w:cs="Times New Roman"/>
          <w:bCs/>
          <w:kern w:val="36"/>
          <w:sz w:val="24"/>
          <w:szCs w:val="24"/>
          <w:lang w:eastAsia="fr-FR"/>
        </w:rPr>
        <w:t>Kiliç</w:t>
      </w:r>
      <w:proofErr w:type="spellEnd"/>
      <w:r w:rsidR="006D3A4C">
        <w:rPr>
          <w:rFonts w:ascii="Times New Roman" w:eastAsia="Times New Roman" w:hAnsi="Times New Roman" w:cs="Times New Roman"/>
          <w:bCs/>
          <w:kern w:val="36"/>
          <w:sz w:val="24"/>
          <w:szCs w:val="24"/>
          <w:lang w:eastAsia="fr-FR"/>
        </w:rPr>
        <w:t xml:space="preserve"> et </w:t>
      </w:r>
      <w:proofErr w:type="spellStart"/>
      <w:r w:rsidR="006D3A4C">
        <w:rPr>
          <w:rFonts w:ascii="Times New Roman" w:eastAsia="Times New Roman" w:hAnsi="Times New Roman" w:cs="Times New Roman"/>
          <w:bCs/>
          <w:kern w:val="36"/>
          <w:sz w:val="24"/>
          <w:szCs w:val="24"/>
          <w:lang w:eastAsia="fr-FR"/>
        </w:rPr>
        <w:t>Kuzey</w:t>
      </w:r>
      <w:proofErr w:type="spellEnd"/>
      <w:r w:rsidR="006D3A4C">
        <w:rPr>
          <w:rFonts w:ascii="Times New Roman" w:eastAsia="Times New Roman" w:hAnsi="Times New Roman" w:cs="Times New Roman"/>
          <w:bCs/>
          <w:kern w:val="36"/>
          <w:sz w:val="24"/>
          <w:szCs w:val="24"/>
          <w:lang w:eastAsia="fr-FR"/>
        </w:rPr>
        <w:t xml:space="preserve"> 2019 ; </w:t>
      </w:r>
      <w:proofErr w:type="spellStart"/>
      <w:r w:rsidR="006D3A4C">
        <w:rPr>
          <w:rFonts w:ascii="Times New Roman" w:eastAsia="Times New Roman" w:hAnsi="Times New Roman" w:cs="Times New Roman"/>
          <w:bCs/>
          <w:kern w:val="36"/>
          <w:sz w:val="24"/>
          <w:szCs w:val="24"/>
          <w:lang w:eastAsia="fr-FR"/>
        </w:rPr>
        <w:t>Caby</w:t>
      </w:r>
      <w:proofErr w:type="spellEnd"/>
      <w:r w:rsidR="006D3A4C">
        <w:rPr>
          <w:rFonts w:ascii="Times New Roman" w:eastAsia="Times New Roman" w:hAnsi="Times New Roman" w:cs="Times New Roman"/>
          <w:bCs/>
          <w:kern w:val="36"/>
          <w:sz w:val="24"/>
          <w:szCs w:val="24"/>
          <w:lang w:eastAsia="fr-FR"/>
        </w:rPr>
        <w:t xml:space="preserve"> et al.</w:t>
      </w:r>
      <w:r w:rsidR="006D3A4C" w:rsidRPr="001845C0">
        <w:rPr>
          <w:rFonts w:ascii="Times New Roman" w:eastAsia="Times New Roman" w:hAnsi="Times New Roman" w:cs="Times New Roman"/>
          <w:bCs/>
          <w:kern w:val="36"/>
          <w:sz w:val="24"/>
          <w:szCs w:val="24"/>
          <w:lang w:eastAsia="fr-FR"/>
        </w:rPr>
        <w:t xml:space="preserve"> 2020)</w:t>
      </w:r>
      <w:r w:rsidR="006D3A4C">
        <w:rPr>
          <w:rFonts w:ascii="Times New Roman" w:eastAsia="Times New Roman" w:hAnsi="Times New Roman" w:cs="Times New Roman"/>
          <w:bCs/>
          <w:kern w:val="36"/>
          <w:sz w:val="24"/>
          <w:szCs w:val="24"/>
          <w:lang w:eastAsia="fr-FR"/>
        </w:rPr>
        <w:t xml:space="preserve">. </w:t>
      </w:r>
      <w:r w:rsidR="006D3A4C" w:rsidRPr="001845C0">
        <w:rPr>
          <w:rFonts w:ascii="Times New Roman" w:eastAsia="Times New Roman" w:hAnsi="Times New Roman" w:cs="Times New Roman"/>
          <w:bCs/>
          <w:kern w:val="36"/>
          <w:sz w:val="24"/>
          <w:szCs w:val="24"/>
          <w:lang w:eastAsia="fr-FR"/>
        </w:rPr>
        <w:t>Les divergences de résultats peuvent s’expliquer par la nature de l’échantillon d’étude composé exclusivement de très grandes banques internationales</w:t>
      </w:r>
      <w:r w:rsidR="006D3A4C">
        <w:rPr>
          <w:rFonts w:ascii="Times New Roman" w:eastAsia="Times New Roman" w:hAnsi="Times New Roman" w:cs="Times New Roman"/>
          <w:bCs/>
          <w:kern w:val="36"/>
          <w:sz w:val="24"/>
          <w:szCs w:val="24"/>
          <w:lang w:eastAsia="fr-FR"/>
        </w:rPr>
        <w:t xml:space="preserve">, toutes cotées, </w:t>
      </w:r>
      <w:r w:rsidR="006D3A4C" w:rsidRPr="001845C0">
        <w:rPr>
          <w:rFonts w:ascii="Times New Roman" w:eastAsia="Times New Roman" w:hAnsi="Times New Roman" w:cs="Times New Roman"/>
          <w:bCs/>
          <w:kern w:val="36"/>
          <w:sz w:val="24"/>
          <w:szCs w:val="24"/>
          <w:lang w:eastAsia="fr-FR"/>
        </w:rPr>
        <w:t>en m</w:t>
      </w:r>
      <w:r w:rsidR="006D3A4C">
        <w:rPr>
          <w:rFonts w:ascii="Times New Roman" w:eastAsia="Times New Roman" w:hAnsi="Times New Roman" w:cs="Times New Roman"/>
          <w:bCs/>
          <w:kern w:val="36"/>
          <w:sz w:val="24"/>
          <w:szCs w:val="24"/>
          <w:lang w:eastAsia="fr-FR"/>
        </w:rPr>
        <w:t>oy</w:t>
      </w:r>
      <w:r w:rsidR="00E05A88">
        <w:rPr>
          <w:rFonts w:ascii="Times New Roman" w:eastAsia="Times New Roman" w:hAnsi="Times New Roman" w:cs="Times New Roman"/>
          <w:bCs/>
          <w:kern w:val="36"/>
          <w:sz w:val="24"/>
          <w:szCs w:val="24"/>
          <w:lang w:eastAsia="fr-FR"/>
        </w:rPr>
        <w:t xml:space="preserve">enne sur 2 places boursières : les différences </w:t>
      </w:r>
      <w:r w:rsidR="0054738A">
        <w:rPr>
          <w:rFonts w:ascii="Times New Roman" w:eastAsia="Times New Roman" w:hAnsi="Times New Roman" w:cs="Times New Roman"/>
          <w:bCs/>
          <w:kern w:val="36"/>
          <w:sz w:val="24"/>
          <w:szCs w:val="24"/>
          <w:lang w:eastAsia="fr-FR"/>
        </w:rPr>
        <w:t xml:space="preserve">relatives </w:t>
      </w:r>
      <w:r w:rsidR="00E05A88">
        <w:rPr>
          <w:rFonts w:ascii="Times New Roman" w:eastAsia="Times New Roman" w:hAnsi="Times New Roman" w:cs="Times New Roman"/>
          <w:bCs/>
          <w:kern w:val="36"/>
          <w:sz w:val="24"/>
          <w:szCs w:val="24"/>
          <w:lang w:eastAsia="fr-FR"/>
        </w:rPr>
        <w:t>d’exposition aux marc</w:t>
      </w:r>
      <w:r w:rsidR="0054738A">
        <w:rPr>
          <w:rFonts w:ascii="Times New Roman" w:eastAsia="Times New Roman" w:hAnsi="Times New Roman" w:cs="Times New Roman"/>
          <w:bCs/>
          <w:kern w:val="36"/>
          <w:sz w:val="24"/>
          <w:szCs w:val="24"/>
          <w:lang w:eastAsia="fr-FR"/>
        </w:rPr>
        <w:t>hés financiers sont donc ténues.</w:t>
      </w:r>
    </w:p>
    <w:p w:rsidR="008B7E76" w:rsidRDefault="004F4428" w:rsidP="006D3A4C">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 xml:space="preserve">Enfin, les variables </w:t>
      </w:r>
      <w:r w:rsidRPr="004F4428">
        <w:rPr>
          <w:rFonts w:ascii="Times New Roman" w:eastAsia="Times New Roman" w:hAnsi="Times New Roman" w:cs="Times New Roman"/>
          <w:bCs/>
          <w:i/>
          <w:kern w:val="36"/>
          <w:sz w:val="24"/>
          <w:szCs w:val="24"/>
          <w:lang w:eastAsia="fr-FR"/>
        </w:rPr>
        <w:t>EUR</w:t>
      </w:r>
      <w:r>
        <w:rPr>
          <w:rFonts w:ascii="Times New Roman" w:eastAsia="Times New Roman" w:hAnsi="Times New Roman" w:cs="Times New Roman"/>
          <w:bCs/>
          <w:kern w:val="36"/>
          <w:sz w:val="24"/>
          <w:szCs w:val="24"/>
          <w:lang w:eastAsia="fr-FR"/>
        </w:rPr>
        <w:t xml:space="preserve"> et </w:t>
      </w:r>
      <w:r w:rsidRPr="004F4428">
        <w:rPr>
          <w:rFonts w:ascii="Times New Roman" w:eastAsia="Times New Roman" w:hAnsi="Times New Roman" w:cs="Times New Roman"/>
          <w:bCs/>
          <w:i/>
          <w:kern w:val="36"/>
          <w:sz w:val="24"/>
          <w:szCs w:val="24"/>
          <w:lang w:eastAsia="fr-FR"/>
        </w:rPr>
        <w:t>ANNEE</w:t>
      </w:r>
      <w:r>
        <w:rPr>
          <w:rFonts w:ascii="Times New Roman" w:eastAsia="Times New Roman" w:hAnsi="Times New Roman" w:cs="Times New Roman"/>
          <w:bCs/>
          <w:kern w:val="36"/>
          <w:sz w:val="24"/>
          <w:szCs w:val="24"/>
          <w:lang w:eastAsia="fr-FR"/>
        </w:rPr>
        <w:t xml:space="preserve"> affichent des coefficients positifs stables : l’appartenance à un pays européen tend à augmenter le volume de DVI </w:t>
      </w:r>
      <w:r w:rsidR="0054738A">
        <w:rPr>
          <w:rFonts w:ascii="Times New Roman" w:eastAsia="Times New Roman" w:hAnsi="Times New Roman" w:cs="Times New Roman"/>
          <w:bCs/>
          <w:kern w:val="36"/>
          <w:sz w:val="24"/>
          <w:szCs w:val="24"/>
          <w:lang w:eastAsia="fr-FR"/>
        </w:rPr>
        <w:t xml:space="preserve">environnementale </w:t>
      </w:r>
      <w:r>
        <w:rPr>
          <w:rFonts w:ascii="Times New Roman" w:eastAsia="Times New Roman" w:hAnsi="Times New Roman" w:cs="Times New Roman"/>
          <w:bCs/>
          <w:kern w:val="36"/>
          <w:sz w:val="24"/>
          <w:szCs w:val="24"/>
          <w:lang w:eastAsia="fr-FR"/>
        </w:rPr>
        <w:t>des banques.</w:t>
      </w:r>
    </w:p>
    <w:p w:rsidR="004F4428" w:rsidRPr="00631969" w:rsidRDefault="004F4428" w:rsidP="004F4428">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631969">
        <w:rPr>
          <w:rFonts w:ascii="Times New Roman" w:eastAsia="Times New Roman" w:hAnsi="Times New Roman" w:cs="Times New Roman"/>
          <w:b/>
          <w:bCs/>
          <w:kern w:val="36"/>
          <w:sz w:val="24"/>
          <w:szCs w:val="24"/>
          <w:lang w:eastAsia="fr-FR"/>
        </w:rPr>
        <w:t>Tab</w:t>
      </w:r>
      <w:r w:rsidR="0054738A">
        <w:rPr>
          <w:rFonts w:ascii="Times New Roman" w:eastAsia="Times New Roman" w:hAnsi="Times New Roman" w:cs="Times New Roman"/>
          <w:b/>
          <w:bCs/>
          <w:kern w:val="36"/>
          <w:sz w:val="24"/>
          <w:szCs w:val="24"/>
          <w:lang w:eastAsia="fr-FR"/>
        </w:rPr>
        <w:t>leau 7</w:t>
      </w:r>
      <w:r w:rsidR="00F6008C">
        <w:rPr>
          <w:rFonts w:ascii="Times New Roman" w:eastAsia="Times New Roman" w:hAnsi="Times New Roman" w:cs="Times New Roman"/>
          <w:b/>
          <w:bCs/>
          <w:kern w:val="36"/>
          <w:sz w:val="24"/>
          <w:szCs w:val="24"/>
          <w:lang w:eastAsia="fr-FR"/>
        </w:rPr>
        <w:t> : Modèles de régression -</w:t>
      </w:r>
      <w:r w:rsidRPr="00631969">
        <w:rPr>
          <w:rFonts w:ascii="Times New Roman" w:eastAsia="Times New Roman" w:hAnsi="Times New Roman" w:cs="Times New Roman"/>
          <w:b/>
          <w:bCs/>
          <w:kern w:val="36"/>
          <w:sz w:val="24"/>
          <w:szCs w:val="24"/>
          <w:lang w:eastAsia="fr-FR"/>
        </w:rPr>
        <w:t xml:space="preserve"> volume d</w:t>
      </w:r>
      <w:r w:rsidR="001A2BF4">
        <w:rPr>
          <w:rFonts w:ascii="Times New Roman" w:eastAsia="Times New Roman" w:hAnsi="Times New Roman" w:cs="Times New Roman"/>
          <w:b/>
          <w:bCs/>
          <w:kern w:val="36"/>
          <w:sz w:val="24"/>
          <w:szCs w:val="24"/>
          <w:lang w:eastAsia="fr-FR"/>
        </w:rPr>
        <w:t>e la DVI environnementale (Y=PIE</w:t>
      </w:r>
      <w:r w:rsidRPr="00631969">
        <w:rPr>
          <w:rFonts w:ascii="Times New Roman" w:eastAsia="Times New Roman" w:hAnsi="Times New Roman" w:cs="Times New Roman"/>
          <w:b/>
          <w:bCs/>
          <w:kern w:val="36"/>
          <w:sz w:val="24"/>
          <w:szCs w:val="24"/>
          <w:lang w:eastAsia="fr-FR"/>
        </w:rPr>
        <w:t>).</w:t>
      </w:r>
    </w:p>
    <w:tbl>
      <w:tblPr>
        <w:tblStyle w:val="Grilledutableau"/>
        <w:tblW w:w="0" w:type="auto"/>
        <w:jc w:val="center"/>
        <w:tblLook w:val="04A0" w:firstRow="1" w:lastRow="0" w:firstColumn="1" w:lastColumn="0" w:noHBand="0" w:noVBand="1"/>
      </w:tblPr>
      <w:tblGrid>
        <w:gridCol w:w="856"/>
        <w:gridCol w:w="1549"/>
        <w:gridCol w:w="1134"/>
        <w:gridCol w:w="997"/>
        <w:gridCol w:w="1131"/>
        <w:gridCol w:w="1131"/>
        <w:gridCol w:w="1132"/>
        <w:gridCol w:w="1132"/>
      </w:tblGrid>
      <w:tr w:rsidR="004F4428" w:rsidRPr="007A14CC" w:rsidTr="00DD1412">
        <w:trPr>
          <w:jc w:val="center"/>
        </w:trPr>
        <w:tc>
          <w:tcPr>
            <w:tcW w:w="856"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8206" w:type="dxa"/>
            <w:gridSpan w:val="7"/>
          </w:tcPr>
          <w:p w:rsidR="004F4428" w:rsidRDefault="001A2BF4"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Y = PIE</w:t>
            </w:r>
            <w:r w:rsidR="004F4428">
              <w:rPr>
                <w:rFonts w:ascii="Times New Roman" w:eastAsia="Times New Roman" w:hAnsi="Times New Roman" w:cs="Times New Roman"/>
                <w:sz w:val="16"/>
                <w:szCs w:val="16"/>
                <w:lang w:eastAsia="fr-FR"/>
              </w:rPr>
              <w:t xml:space="preserve"> (volume de la DVI environnementale)</w:t>
            </w:r>
          </w:p>
        </w:tc>
      </w:tr>
      <w:tr w:rsidR="004F4428" w:rsidRPr="007A14CC" w:rsidTr="00DD1412">
        <w:trPr>
          <w:jc w:val="center"/>
        </w:trPr>
        <w:tc>
          <w:tcPr>
            <w:tcW w:w="856"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Echantillon Total [</w:t>
            </w:r>
            <w:proofErr w:type="spellStart"/>
            <w:r>
              <w:rPr>
                <w:rFonts w:ascii="Times New Roman" w:eastAsia="Times New Roman" w:hAnsi="Times New Roman" w:cs="Times New Roman"/>
                <w:sz w:val="16"/>
                <w:szCs w:val="16"/>
                <w:lang w:eastAsia="fr-FR"/>
              </w:rPr>
              <w:t>Bootstrap</w:t>
            </w:r>
            <w:proofErr w:type="spellEnd"/>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UE</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Hors UE</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Taille +</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Taille -</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Hors Banques Chinoises</w:t>
            </w:r>
          </w:p>
        </w:tc>
        <w:tc>
          <w:tcPr>
            <w:tcW w:w="1132"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Hors Banques publiques</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FEF</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6,13***</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[4,77 ; 7,73]***</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8,59***</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0,95</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4,21***</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3,77***</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7,02***</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6,51</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CEF</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TAILLE</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RENTA</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-1,94***</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[-3,51 ; -0,75]**</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-2,10*</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-1,69***</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-3,00***</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-1,24**</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-2,87***</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-3,04</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COT</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-0,54***</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[-0,93 ; -0,11]</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-0,94***</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0,96***</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-1,14***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-0,07</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-0,57***</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-0,66</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EPI</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EUR</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5,59***</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[4,23 ; 6,90]***</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5,35***</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4,07***</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5,95***</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5,68</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ANNEE</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0,82***</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[0,48 ; 1,15]***</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1,16***</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0,61***</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0,74**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0,99***</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0,95***</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0,93</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Pr>
                <w:rFonts w:ascii="Times New Roman" w:hAnsi="Times New Roman" w:cs="Times New Roman"/>
                <w:sz w:val="16"/>
                <w:szCs w:val="16"/>
              </w:rPr>
              <w:t>Constante</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-1705,67***</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[-2380 ; -1033]***</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-2414,76***</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-1243,77***</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-1530,34**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-2026,25***</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-1987,92***</w:t>
            </w:r>
          </w:p>
        </w:tc>
        <w:tc>
          <w:tcPr>
            <w:tcW w:w="1132" w:type="dxa"/>
          </w:tcPr>
          <w:p w:rsidR="004F4428" w:rsidRPr="007C7C5C" w:rsidRDefault="00F154EC" w:rsidP="00F154EC">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-1930</w:t>
            </w:r>
            <w:r w:rsidR="004F4428">
              <w:rPr>
                <w:rFonts w:ascii="Times New Roman" w:eastAsia="Times New Roman" w:hAnsi="Times New Roman" w:cs="Times New Roman"/>
                <w:sz w:val="16"/>
                <w:szCs w:val="16"/>
                <w:lang w:eastAsia="fr-FR"/>
              </w:rPr>
              <w:t>,</w:t>
            </w:r>
            <w:r>
              <w:rPr>
                <w:rFonts w:ascii="Times New Roman" w:eastAsia="Times New Roman" w:hAnsi="Times New Roman" w:cs="Times New Roman"/>
                <w:sz w:val="16"/>
                <w:szCs w:val="16"/>
                <w:lang w:eastAsia="fr-FR"/>
              </w:rPr>
              <w:t>48</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R² ajusté</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0,609</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0,681</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0,363</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0,643</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0,618</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0,636</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0,627</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VIF</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[1,04 ; 2,22]</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[1,03 ; 1,11]</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[1,02 ; 1,13]</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[1,01 ; 2,03]</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[1,08 ; 3,40]</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[1,04 ; 2,11]</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[1,05</w:t>
            </w:r>
            <w:r w:rsidR="004F4428">
              <w:rPr>
                <w:rFonts w:ascii="Times New Roman" w:eastAsia="Times New Roman" w:hAnsi="Times New Roman" w:cs="Times New Roman"/>
                <w:sz w:val="16"/>
                <w:szCs w:val="16"/>
                <w:lang w:eastAsia="fr-FR"/>
              </w:rPr>
              <w:t> </w:t>
            </w:r>
            <w:r>
              <w:rPr>
                <w:rFonts w:ascii="Times New Roman" w:eastAsia="Times New Roman" w:hAnsi="Times New Roman" w:cs="Times New Roman"/>
                <w:sz w:val="16"/>
                <w:szCs w:val="16"/>
                <w:lang w:eastAsia="fr-FR"/>
              </w:rPr>
              <w:t>; 2,39</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proofErr w:type="spellStart"/>
            <w:r w:rsidRPr="007C7C5C">
              <w:rPr>
                <w:rFonts w:ascii="Times New Roman" w:hAnsi="Times New Roman" w:cs="Times New Roman"/>
                <w:sz w:val="16"/>
                <w:szCs w:val="16"/>
              </w:rPr>
              <w:lastRenderedPageBreak/>
              <w:t>Durbin</w:t>
            </w:r>
            <w:proofErr w:type="spellEnd"/>
            <w:r>
              <w:rPr>
                <w:rFonts w:ascii="Times New Roman" w:hAnsi="Times New Roman" w:cs="Times New Roman"/>
                <w:sz w:val="16"/>
                <w:szCs w:val="16"/>
              </w:rPr>
              <w:t>-</w:t>
            </w:r>
            <w:r w:rsidRPr="007C7C5C">
              <w:rPr>
                <w:rFonts w:ascii="Times New Roman" w:hAnsi="Times New Roman" w:cs="Times New Roman"/>
                <w:sz w:val="16"/>
                <w:szCs w:val="16"/>
              </w:rPr>
              <w:t>Watson</w:t>
            </w:r>
            <w:r>
              <w:rPr>
                <w:rFonts w:ascii="Times New Roman" w:hAnsi="Times New Roman" w:cs="Times New Roman"/>
                <w:sz w:val="16"/>
                <w:szCs w:val="16"/>
              </w:rPr>
              <w:t xml:space="preserve"> (p-value)</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2,09 (0,664)</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2,14 (0,760)</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2,17 (0,568)</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1,76 (0,244)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2,24 (0,418)</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2,11 (0,690)</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2,05 (0,91</w:t>
            </w:r>
            <w:r w:rsidR="004F4428">
              <w:rPr>
                <w:rFonts w:ascii="Times New Roman" w:eastAsia="Times New Roman" w:hAnsi="Times New Roman" w:cs="Times New Roman"/>
                <w:sz w:val="16"/>
                <w:szCs w:val="16"/>
                <w:lang w:eastAsia="fr-FR"/>
              </w:rPr>
              <w:t>4)</w:t>
            </w:r>
          </w:p>
        </w:tc>
      </w:tr>
    </w:tbl>
    <w:p w:rsidR="004F4428" w:rsidRPr="00686273" w:rsidRDefault="004F4428" w:rsidP="004F4428">
      <w:pPr>
        <w:spacing w:before="100" w:beforeAutospacing="1" w:after="100" w:afterAutospacing="1" w:line="240" w:lineRule="auto"/>
        <w:jc w:val="both"/>
        <w:outlineLvl w:val="0"/>
        <w:rPr>
          <w:rFonts w:ascii="Times New Roman" w:eastAsia="Times New Roman" w:hAnsi="Times New Roman" w:cs="Times New Roman"/>
          <w:sz w:val="20"/>
          <w:szCs w:val="20"/>
          <w:lang w:eastAsia="fr-FR"/>
        </w:rPr>
      </w:pPr>
      <w:proofErr w:type="gramStart"/>
      <w:r w:rsidRPr="005C0E58">
        <w:rPr>
          <w:rFonts w:ascii="Times New Roman" w:eastAsia="Times New Roman" w:hAnsi="Times New Roman" w:cs="Times New Roman"/>
          <w:sz w:val="20"/>
          <w:szCs w:val="20"/>
          <w:lang w:eastAsia="fr-FR"/>
        </w:rPr>
        <w:t>p</w:t>
      </w:r>
      <w:proofErr w:type="gramEnd"/>
      <w:r w:rsidRPr="005C0E58">
        <w:rPr>
          <w:rFonts w:ascii="Times New Roman" w:eastAsia="Times New Roman" w:hAnsi="Times New Roman" w:cs="Times New Roman"/>
          <w:sz w:val="20"/>
          <w:szCs w:val="20"/>
          <w:lang w:eastAsia="fr-FR"/>
        </w:rPr>
        <w:t>-significatif à 10% * ; 5% ** ; 1% ***. Résultats issus d’</w:t>
      </w:r>
      <w:r>
        <w:rPr>
          <w:rFonts w:ascii="Times New Roman" w:eastAsia="Times New Roman" w:hAnsi="Times New Roman" w:cs="Times New Roman"/>
          <w:sz w:val="20"/>
          <w:szCs w:val="20"/>
          <w:lang w:eastAsia="fr-FR"/>
        </w:rPr>
        <w:t>une régression</w:t>
      </w:r>
      <w:r w:rsidRPr="005C0E58">
        <w:rPr>
          <w:rFonts w:ascii="Times New Roman" w:eastAsia="Times New Roman" w:hAnsi="Times New Roman" w:cs="Times New Roman"/>
          <w:sz w:val="20"/>
          <w:szCs w:val="20"/>
          <w:lang w:eastAsia="fr-FR"/>
        </w:rPr>
        <w:t xml:space="preserve"> </w:t>
      </w:r>
      <w:proofErr w:type="spellStart"/>
      <w:r w:rsidRPr="005C0E58">
        <w:rPr>
          <w:rFonts w:ascii="Times New Roman" w:eastAsia="Times New Roman" w:hAnsi="Times New Roman" w:cs="Times New Roman"/>
          <w:sz w:val="20"/>
          <w:szCs w:val="20"/>
          <w:lang w:eastAsia="fr-FR"/>
        </w:rPr>
        <w:t>Leap</w:t>
      </w:r>
      <w:proofErr w:type="spellEnd"/>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Forward</w:t>
      </w:r>
      <w:proofErr w:type="spellEnd"/>
      <w:r>
        <w:rPr>
          <w:rFonts w:ascii="Times New Roman" w:eastAsia="Times New Roman" w:hAnsi="Times New Roman" w:cs="Times New Roman"/>
          <w:sz w:val="20"/>
          <w:szCs w:val="20"/>
          <w:lang w:eastAsia="fr-FR"/>
        </w:rPr>
        <w:t>. R² ajusté optimisé sur critère C</w:t>
      </w:r>
      <w:r w:rsidRPr="005C0E58">
        <w:rPr>
          <w:rFonts w:ascii="Times New Roman" w:eastAsia="Times New Roman" w:hAnsi="Times New Roman" w:cs="Times New Roman"/>
          <w:sz w:val="20"/>
          <w:szCs w:val="20"/>
          <w:lang w:eastAsia="fr-FR"/>
        </w:rPr>
        <w:t xml:space="preserve">p. </w:t>
      </w:r>
      <w:proofErr w:type="spellStart"/>
      <w:r w:rsidRPr="005C0E58">
        <w:rPr>
          <w:rFonts w:ascii="Times New Roman" w:eastAsia="Times New Roman" w:hAnsi="Times New Roman" w:cs="Times New Roman"/>
          <w:sz w:val="20"/>
          <w:szCs w:val="20"/>
          <w:lang w:eastAsia="fr-FR"/>
        </w:rPr>
        <w:t>Bootstrap</w:t>
      </w:r>
      <w:proofErr w:type="spellEnd"/>
      <w:r w:rsidRPr="005C0E58">
        <w:rPr>
          <w:rFonts w:ascii="Times New Roman" w:eastAsia="Times New Roman" w:hAnsi="Times New Roman" w:cs="Times New Roman"/>
          <w:sz w:val="20"/>
          <w:szCs w:val="20"/>
          <w:lang w:eastAsia="fr-FR"/>
        </w:rPr>
        <w:t xml:space="preserve"> de 500 itérations : intervalles de valeurs des coefficients [2,5% ; 97,5%].</w:t>
      </w:r>
      <w:r>
        <w:rPr>
          <w:rFonts w:ascii="Times New Roman" w:eastAsia="Times New Roman" w:hAnsi="Times New Roman" w:cs="Times New Roman"/>
          <w:sz w:val="20"/>
          <w:szCs w:val="20"/>
          <w:lang w:eastAsia="fr-FR"/>
        </w:rPr>
        <w:t xml:space="preserve"> </w:t>
      </w:r>
      <w:r w:rsidRPr="00A05AF8">
        <w:rPr>
          <w:rFonts w:ascii="Times New Roman" w:eastAsia="Times New Roman" w:hAnsi="Times New Roman" w:cs="Times New Roman"/>
          <w:sz w:val="20"/>
          <w:szCs w:val="20"/>
          <w:lang w:eastAsia="fr-FR"/>
        </w:rPr>
        <w:t xml:space="preserve">Le modèle écrémé retient 5 variables explicatives. Il est reproduit sur plusieurs sous-échantillons : UE / Hors UE ; Plus grande taille / Plus petite taille ; Hors banques chinoises ; Hors banques publiques. </w:t>
      </w:r>
      <w:r>
        <w:rPr>
          <w:rFonts w:ascii="Times New Roman" w:eastAsia="Times New Roman" w:hAnsi="Times New Roman" w:cs="Times New Roman"/>
          <w:b/>
          <w:sz w:val="20"/>
          <w:szCs w:val="20"/>
          <w:lang w:eastAsia="fr-FR"/>
        </w:rPr>
        <w:t xml:space="preserve">Données 2017-2020 </w:t>
      </w:r>
      <w:r>
        <w:rPr>
          <w:rFonts w:ascii="Times New Roman" w:eastAsia="Times New Roman" w:hAnsi="Times New Roman" w:cs="Times New Roman"/>
          <w:sz w:val="20"/>
          <w:szCs w:val="20"/>
          <w:lang w:eastAsia="fr-FR"/>
        </w:rPr>
        <w:t xml:space="preserve">: </w:t>
      </w:r>
      <w:r w:rsidR="001A2BF4">
        <w:rPr>
          <w:rFonts w:ascii="Times New Roman" w:eastAsia="Times New Roman" w:hAnsi="Times New Roman" w:cs="Times New Roman"/>
          <w:i/>
          <w:sz w:val="20"/>
          <w:szCs w:val="20"/>
          <w:lang w:eastAsia="fr-FR"/>
        </w:rPr>
        <w:t>PIE</w:t>
      </w:r>
      <w:r w:rsidR="001A2BF4">
        <w:rPr>
          <w:rFonts w:ascii="Times New Roman" w:eastAsia="Times New Roman" w:hAnsi="Times New Roman" w:cs="Times New Roman"/>
          <w:sz w:val="20"/>
          <w:szCs w:val="20"/>
          <w:lang w:eastAsia="fr-FR"/>
        </w:rPr>
        <w:t> : politiques d’investissement environnementales</w:t>
      </w:r>
      <w:r>
        <w:rPr>
          <w:rFonts w:ascii="Times New Roman" w:eastAsia="Times New Roman" w:hAnsi="Times New Roman" w:cs="Times New Roman"/>
          <w:sz w:val="20"/>
          <w:szCs w:val="20"/>
          <w:lang w:eastAsia="fr-FR"/>
        </w:rPr>
        <w:t>, volu</w:t>
      </w:r>
      <w:r w:rsidR="001A2BF4">
        <w:rPr>
          <w:rFonts w:ascii="Times New Roman" w:eastAsia="Times New Roman" w:hAnsi="Times New Roman" w:cs="Times New Roman"/>
          <w:sz w:val="20"/>
          <w:szCs w:val="20"/>
          <w:lang w:eastAsia="fr-FR"/>
        </w:rPr>
        <w:t>me de la DVI environnementale</w:t>
      </w:r>
      <w:r>
        <w:rPr>
          <w:rFonts w:ascii="Times New Roman" w:eastAsia="Times New Roman" w:hAnsi="Times New Roman" w:cs="Times New Roman"/>
          <w:sz w:val="20"/>
          <w:szCs w:val="20"/>
          <w:lang w:eastAsia="fr-FR"/>
        </w:rPr>
        <w:t xml:space="preserve">. </w:t>
      </w:r>
      <w:r w:rsidRPr="00040F24">
        <w:rPr>
          <w:rFonts w:ascii="Times New Roman" w:eastAsia="Times New Roman" w:hAnsi="Times New Roman" w:cs="Times New Roman"/>
          <w:b/>
          <w:sz w:val="20"/>
          <w:szCs w:val="20"/>
          <w:lang w:eastAsia="fr-FR"/>
        </w:rPr>
        <w:t>Données 2016-2019</w:t>
      </w:r>
      <w:r>
        <w:rPr>
          <w:rFonts w:ascii="Times New Roman" w:eastAsia="Times New Roman" w:hAnsi="Times New Roman" w:cs="Times New Roman"/>
          <w:sz w:val="20"/>
          <w:szCs w:val="20"/>
          <w:lang w:eastAsia="fr-FR"/>
        </w:rPr>
        <w:t xml:space="preserve"> : </w:t>
      </w:r>
      <w:r w:rsidRPr="00A6026B">
        <w:rPr>
          <w:rFonts w:ascii="Times New Roman" w:eastAsia="Times New Roman" w:hAnsi="Times New Roman" w:cs="Times New Roman"/>
          <w:i/>
          <w:sz w:val="20"/>
          <w:szCs w:val="20"/>
          <w:lang w:eastAsia="fr-FR"/>
        </w:rPr>
        <w:t>FEF</w:t>
      </w:r>
      <w:r>
        <w:rPr>
          <w:rFonts w:ascii="Times New Roman" w:eastAsia="Times New Roman" w:hAnsi="Times New Roman" w:cs="Times New Roman"/>
          <w:sz w:val="20"/>
          <w:szCs w:val="20"/>
          <w:lang w:eastAsia="fr-FR"/>
        </w:rPr>
        <w:t xml:space="preserve"> : Log du financement annuel aux entreprises des filières fossiles (2100 entreprises), performance environnementale ; </w:t>
      </w:r>
      <w:r w:rsidRPr="00A6026B">
        <w:rPr>
          <w:rFonts w:ascii="Times New Roman" w:eastAsia="Times New Roman" w:hAnsi="Times New Roman" w:cs="Times New Roman"/>
          <w:i/>
          <w:sz w:val="20"/>
          <w:szCs w:val="20"/>
          <w:lang w:eastAsia="fr-FR"/>
        </w:rPr>
        <w:t>CEF</w:t>
      </w:r>
      <w:r>
        <w:rPr>
          <w:rFonts w:ascii="Times New Roman" w:eastAsia="Times New Roman" w:hAnsi="Times New Roman" w:cs="Times New Roman"/>
          <w:sz w:val="20"/>
          <w:szCs w:val="20"/>
          <w:lang w:eastAsia="fr-FR"/>
        </w:rPr>
        <w:t xml:space="preserve"> : Log du financement annuel aux entreprises (100 firmes) ayant des projets de développement dans les filières fossiles, performance environnementale ; </w:t>
      </w:r>
      <w:r w:rsidRPr="00A6026B">
        <w:rPr>
          <w:rFonts w:ascii="Times New Roman" w:eastAsia="Times New Roman" w:hAnsi="Times New Roman" w:cs="Times New Roman"/>
          <w:i/>
          <w:sz w:val="20"/>
          <w:szCs w:val="20"/>
          <w:lang w:eastAsia="fr-FR"/>
        </w:rPr>
        <w:t>TAILLE</w:t>
      </w:r>
      <w:r>
        <w:rPr>
          <w:rFonts w:ascii="Times New Roman" w:eastAsia="Times New Roman" w:hAnsi="Times New Roman" w:cs="Times New Roman"/>
          <w:sz w:val="20"/>
          <w:szCs w:val="20"/>
          <w:lang w:eastAsia="fr-FR"/>
        </w:rPr>
        <w:t xml:space="preserve"> : Log du total des actifs de la banque ; </w:t>
      </w:r>
      <w:r w:rsidRPr="00A6026B">
        <w:rPr>
          <w:rFonts w:ascii="Times New Roman" w:eastAsia="Times New Roman" w:hAnsi="Times New Roman" w:cs="Times New Roman"/>
          <w:i/>
          <w:sz w:val="20"/>
          <w:szCs w:val="20"/>
          <w:lang w:eastAsia="fr-FR"/>
        </w:rPr>
        <w:t>RENTA</w:t>
      </w:r>
      <w:r>
        <w:rPr>
          <w:rFonts w:ascii="Times New Roman" w:eastAsia="Times New Roman" w:hAnsi="Times New Roman" w:cs="Times New Roman"/>
          <w:sz w:val="20"/>
          <w:szCs w:val="20"/>
          <w:lang w:eastAsia="fr-FR"/>
        </w:rPr>
        <w:t xml:space="preserve"> : Return On </w:t>
      </w:r>
      <w:proofErr w:type="spellStart"/>
      <w:r>
        <w:rPr>
          <w:rFonts w:ascii="Times New Roman" w:eastAsia="Times New Roman" w:hAnsi="Times New Roman" w:cs="Times New Roman"/>
          <w:sz w:val="20"/>
          <w:szCs w:val="20"/>
          <w:lang w:eastAsia="fr-FR"/>
        </w:rPr>
        <w:t>Assets</w:t>
      </w:r>
      <w:proofErr w:type="spellEnd"/>
      <w:r>
        <w:rPr>
          <w:rFonts w:ascii="Times New Roman" w:eastAsia="Times New Roman" w:hAnsi="Times New Roman" w:cs="Times New Roman"/>
          <w:sz w:val="20"/>
          <w:szCs w:val="20"/>
          <w:lang w:eastAsia="fr-FR"/>
        </w:rPr>
        <w:t xml:space="preserve"> (ROA) de la banque, en % ; </w:t>
      </w:r>
      <w:r w:rsidRPr="00A6026B">
        <w:rPr>
          <w:rFonts w:ascii="Times New Roman" w:eastAsia="Times New Roman" w:hAnsi="Times New Roman" w:cs="Times New Roman"/>
          <w:i/>
          <w:sz w:val="20"/>
          <w:szCs w:val="20"/>
          <w:lang w:eastAsia="fr-FR"/>
        </w:rPr>
        <w:t>COT</w:t>
      </w:r>
      <w:r>
        <w:rPr>
          <w:rFonts w:ascii="Times New Roman" w:eastAsia="Times New Roman" w:hAnsi="Times New Roman" w:cs="Times New Roman"/>
          <w:sz w:val="20"/>
          <w:szCs w:val="20"/>
          <w:lang w:eastAsia="fr-FR"/>
        </w:rPr>
        <w:t xml:space="preserve"> : nombre de places boursières sur lesquelles la banque est cotée (valeur fixe sur la période 2016-2019) ; </w:t>
      </w:r>
      <w:r w:rsidRPr="00A6026B">
        <w:rPr>
          <w:rFonts w:ascii="Times New Roman" w:eastAsia="Times New Roman" w:hAnsi="Times New Roman" w:cs="Times New Roman"/>
          <w:i/>
          <w:sz w:val="20"/>
          <w:szCs w:val="20"/>
          <w:lang w:eastAsia="fr-FR"/>
        </w:rPr>
        <w:t>EPI</w:t>
      </w:r>
      <w:r>
        <w:rPr>
          <w:rFonts w:ascii="Times New Roman" w:eastAsia="Times New Roman" w:hAnsi="Times New Roman" w:cs="Times New Roman"/>
          <w:sz w:val="20"/>
          <w:szCs w:val="20"/>
          <w:lang w:eastAsia="fr-FR"/>
        </w:rPr>
        <w:t xml:space="preserve"> : indice de performance environnementale du pays d’origine de la banque (/100) ; </w:t>
      </w:r>
      <w:r w:rsidR="00A6026B" w:rsidRPr="00A6026B">
        <w:rPr>
          <w:rFonts w:ascii="Times New Roman" w:eastAsia="Times New Roman" w:hAnsi="Times New Roman" w:cs="Times New Roman"/>
          <w:i/>
          <w:sz w:val="20"/>
          <w:szCs w:val="20"/>
          <w:lang w:eastAsia="fr-FR"/>
        </w:rPr>
        <w:t>EUR</w:t>
      </w:r>
      <w:r w:rsidR="00A6026B">
        <w:rPr>
          <w:rFonts w:ascii="Times New Roman" w:eastAsia="Times New Roman" w:hAnsi="Times New Roman" w:cs="Times New Roman"/>
          <w:sz w:val="20"/>
          <w:szCs w:val="20"/>
          <w:lang w:eastAsia="fr-FR"/>
        </w:rPr>
        <w:t xml:space="preserve"> : variable dichotomique, =1 si le pays d’origine de la banque appartient à l’UE, 0 sinon ; </w:t>
      </w:r>
      <w:r w:rsidRPr="00A6026B">
        <w:rPr>
          <w:rFonts w:ascii="Times New Roman" w:eastAsia="Times New Roman" w:hAnsi="Times New Roman" w:cs="Times New Roman"/>
          <w:i/>
          <w:sz w:val="20"/>
          <w:szCs w:val="20"/>
          <w:lang w:eastAsia="fr-FR"/>
        </w:rPr>
        <w:t>ANNEE</w:t>
      </w:r>
      <w:r>
        <w:rPr>
          <w:rFonts w:ascii="Times New Roman" w:eastAsia="Times New Roman" w:hAnsi="Times New Roman" w:cs="Times New Roman"/>
          <w:sz w:val="20"/>
          <w:szCs w:val="20"/>
          <w:lang w:eastAsia="fr-FR"/>
        </w:rPr>
        <w:t> : variable codée de 1 à 4 (années de la période 2016-2019).</w:t>
      </w:r>
    </w:p>
    <w:p w:rsidR="004F4428" w:rsidRDefault="0054738A" w:rsidP="004F4428">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 tableau 8</w:t>
      </w:r>
      <w:r w:rsidR="004F4428">
        <w:rPr>
          <w:rFonts w:ascii="Times New Roman" w:eastAsia="Times New Roman" w:hAnsi="Times New Roman" w:cs="Times New Roman"/>
          <w:bCs/>
          <w:kern w:val="36"/>
          <w:sz w:val="24"/>
          <w:szCs w:val="24"/>
          <w:lang w:eastAsia="fr-FR"/>
        </w:rPr>
        <w:t xml:space="preserve"> résume les résultats pour la variable </w:t>
      </w:r>
      <w:r w:rsidR="001A2BF4">
        <w:rPr>
          <w:rFonts w:ascii="Times New Roman" w:eastAsia="Times New Roman" w:hAnsi="Times New Roman" w:cs="Times New Roman"/>
          <w:bCs/>
          <w:i/>
          <w:kern w:val="36"/>
          <w:sz w:val="24"/>
          <w:szCs w:val="24"/>
          <w:lang w:eastAsia="fr-FR"/>
        </w:rPr>
        <w:t>PIS</w:t>
      </w:r>
      <w:r w:rsidR="004F4428">
        <w:rPr>
          <w:rFonts w:ascii="Times New Roman" w:eastAsia="Times New Roman" w:hAnsi="Times New Roman" w:cs="Times New Roman"/>
          <w:bCs/>
          <w:i/>
          <w:kern w:val="36"/>
          <w:sz w:val="24"/>
          <w:szCs w:val="24"/>
          <w:lang w:eastAsia="fr-FR"/>
        </w:rPr>
        <w:t xml:space="preserve"> </w:t>
      </w:r>
      <w:r w:rsidR="004F4428">
        <w:rPr>
          <w:rFonts w:ascii="Times New Roman" w:eastAsia="Times New Roman" w:hAnsi="Times New Roman" w:cs="Times New Roman"/>
          <w:bCs/>
          <w:kern w:val="36"/>
          <w:sz w:val="24"/>
          <w:szCs w:val="24"/>
          <w:lang w:eastAsia="fr-FR"/>
        </w:rPr>
        <w:t xml:space="preserve">mesurant le volume de la DVI sociétale. La méthode retient 5 variables indépendantes : </w:t>
      </w:r>
      <w:r w:rsidR="004F4428">
        <w:rPr>
          <w:rFonts w:ascii="Times New Roman" w:eastAsia="Times New Roman" w:hAnsi="Times New Roman" w:cs="Times New Roman"/>
          <w:bCs/>
          <w:i/>
          <w:kern w:val="36"/>
          <w:sz w:val="24"/>
          <w:szCs w:val="24"/>
          <w:lang w:eastAsia="fr-FR"/>
        </w:rPr>
        <w:t>F</w:t>
      </w:r>
      <w:r w:rsidR="004F4428" w:rsidRPr="00D816AC">
        <w:rPr>
          <w:rFonts w:ascii="Times New Roman" w:eastAsia="Times New Roman" w:hAnsi="Times New Roman" w:cs="Times New Roman"/>
          <w:bCs/>
          <w:i/>
          <w:kern w:val="36"/>
          <w:sz w:val="24"/>
          <w:szCs w:val="24"/>
          <w:lang w:eastAsia="fr-FR"/>
        </w:rPr>
        <w:t>EF</w:t>
      </w:r>
      <w:r w:rsidR="004F4428">
        <w:rPr>
          <w:rFonts w:ascii="Times New Roman" w:eastAsia="Times New Roman" w:hAnsi="Times New Roman" w:cs="Times New Roman"/>
          <w:bCs/>
          <w:kern w:val="36"/>
          <w:sz w:val="24"/>
          <w:szCs w:val="24"/>
          <w:lang w:eastAsia="fr-FR"/>
        </w:rPr>
        <w:t xml:space="preserve">, </w:t>
      </w:r>
      <w:r w:rsidR="004F4428">
        <w:rPr>
          <w:rFonts w:ascii="Times New Roman" w:eastAsia="Times New Roman" w:hAnsi="Times New Roman" w:cs="Times New Roman"/>
          <w:bCs/>
          <w:i/>
          <w:kern w:val="36"/>
          <w:sz w:val="24"/>
          <w:szCs w:val="24"/>
          <w:lang w:eastAsia="fr-FR"/>
        </w:rPr>
        <w:t>COT</w:t>
      </w:r>
      <w:r w:rsidR="004F4428">
        <w:rPr>
          <w:rFonts w:ascii="Times New Roman" w:eastAsia="Times New Roman" w:hAnsi="Times New Roman" w:cs="Times New Roman"/>
          <w:bCs/>
          <w:kern w:val="36"/>
          <w:sz w:val="24"/>
          <w:szCs w:val="24"/>
          <w:lang w:eastAsia="fr-FR"/>
        </w:rPr>
        <w:t xml:space="preserve">, </w:t>
      </w:r>
      <w:r w:rsidR="004F4428" w:rsidRPr="004F4428">
        <w:rPr>
          <w:rFonts w:ascii="Times New Roman" w:eastAsia="Times New Roman" w:hAnsi="Times New Roman" w:cs="Times New Roman"/>
          <w:bCs/>
          <w:i/>
          <w:kern w:val="36"/>
          <w:sz w:val="24"/>
          <w:szCs w:val="24"/>
          <w:lang w:eastAsia="fr-FR"/>
        </w:rPr>
        <w:t>EPI</w:t>
      </w:r>
      <w:r w:rsidR="004F4428" w:rsidRPr="004F4428">
        <w:rPr>
          <w:rFonts w:ascii="Times New Roman" w:eastAsia="Times New Roman" w:hAnsi="Times New Roman" w:cs="Times New Roman"/>
          <w:bCs/>
          <w:kern w:val="36"/>
          <w:sz w:val="24"/>
          <w:szCs w:val="24"/>
          <w:lang w:eastAsia="fr-FR"/>
        </w:rPr>
        <w:t>,</w:t>
      </w:r>
      <w:r w:rsidR="004F4428">
        <w:rPr>
          <w:rFonts w:ascii="Times New Roman" w:eastAsia="Times New Roman" w:hAnsi="Times New Roman" w:cs="Times New Roman"/>
          <w:bCs/>
          <w:kern w:val="36"/>
          <w:sz w:val="24"/>
          <w:szCs w:val="24"/>
          <w:lang w:eastAsia="fr-FR"/>
        </w:rPr>
        <w:t xml:space="preserve"> </w:t>
      </w:r>
      <w:r w:rsidR="004F4428" w:rsidRPr="00D816AC">
        <w:rPr>
          <w:rFonts w:ascii="Times New Roman" w:eastAsia="Times New Roman" w:hAnsi="Times New Roman" w:cs="Times New Roman"/>
          <w:bCs/>
          <w:i/>
          <w:kern w:val="36"/>
          <w:sz w:val="24"/>
          <w:szCs w:val="24"/>
          <w:lang w:eastAsia="fr-FR"/>
        </w:rPr>
        <w:t>EUR</w:t>
      </w:r>
      <w:r w:rsidR="004F4428">
        <w:rPr>
          <w:rFonts w:ascii="Times New Roman" w:eastAsia="Times New Roman" w:hAnsi="Times New Roman" w:cs="Times New Roman"/>
          <w:bCs/>
          <w:kern w:val="36"/>
          <w:sz w:val="24"/>
          <w:szCs w:val="24"/>
          <w:lang w:eastAsia="fr-FR"/>
        </w:rPr>
        <w:t xml:space="preserve"> et </w:t>
      </w:r>
      <w:r w:rsidR="004F4428" w:rsidRPr="00D816AC">
        <w:rPr>
          <w:rFonts w:ascii="Times New Roman" w:eastAsia="Times New Roman" w:hAnsi="Times New Roman" w:cs="Times New Roman"/>
          <w:bCs/>
          <w:i/>
          <w:kern w:val="36"/>
          <w:sz w:val="24"/>
          <w:szCs w:val="24"/>
          <w:lang w:eastAsia="fr-FR"/>
        </w:rPr>
        <w:t>ANNEE</w:t>
      </w:r>
      <w:r w:rsidR="004F4428">
        <w:rPr>
          <w:rFonts w:ascii="Times New Roman" w:eastAsia="Times New Roman" w:hAnsi="Times New Roman" w:cs="Times New Roman"/>
          <w:bCs/>
          <w:kern w:val="36"/>
          <w:sz w:val="24"/>
          <w:szCs w:val="24"/>
          <w:lang w:eastAsia="fr-FR"/>
        </w:rPr>
        <w:t>.</w:t>
      </w:r>
      <w:r w:rsidR="00A6026B">
        <w:rPr>
          <w:rFonts w:ascii="Times New Roman" w:eastAsia="Times New Roman" w:hAnsi="Times New Roman" w:cs="Times New Roman"/>
          <w:bCs/>
          <w:kern w:val="36"/>
          <w:sz w:val="24"/>
          <w:szCs w:val="24"/>
          <w:lang w:eastAsia="fr-FR"/>
        </w:rPr>
        <w:t xml:space="preserve"> La relation négative entre performance environnementale et volume de la DVI sociétale est confirmée : </w:t>
      </w:r>
      <w:r w:rsidR="00A6026B" w:rsidRPr="008B7E76">
        <w:rPr>
          <w:rFonts w:ascii="Times New Roman" w:eastAsia="Times New Roman" w:hAnsi="Times New Roman" w:cs="Times New Roman"/>
          <w:bCs/>
          <w:i/>
          <w:kern w:val="36"/>
          <w:sz w:val="24"/>
          <w:szCs w:val="24"/>
          <w:lang w:eastAsia="fr-FR"/>
        </w:rPr>
        <w:t>FEF</w:t>
      </w:r>
      <w:r w:rsidR="00A6026B">
        <w:rPr>
          <w:rFonts w:ascii="Times New Roman" w:eastAsia="Times New Roman" w:hAnsi="Times New Roman" w:cs="Times New Roman"/>
          <w:bCs/>
          <w:kern w:val="36"/>
          <w:sz w:val="24"/>
          <w:szCs w:val="24"/>
          <w:lang w:eastAsia="fr-FR"/>
        </w:rPr>
        <w:t xml:space="preserve"> présente un coefficient significatif</w:t>
      </w:r>
      <w:r w:rsidR="008B7E76">
        <w:rPr>
          <w:rFonts w:ascii="Times New Roman" w:eastAsia="Times New Roman" w:hAnsi="Times New Roman" w:cs="Times New Roman"/>
          <w:bCs/>
          <w:kern w:val="36"/>
          <w:sz w:val="24"/>
          <w:szCs w:val="24"/>
          <w:lang w:eastAsia="fr-FR"/>
        </w:rPr>
        <w:t xml:space="preserve"> dans tous les modèle</w:t>
      </w:r>
      <w:r w:rsidR="00A6026B">
        <w:rPr>
          <w:rFonts w:ascii="Times New Roman" w:eastAsia="Times New Roman" w:hAnsi="Times New Roman" w:cs="Times New Roman"/>
          <w:bCs/>
          <w:kern w:val="36"/>
          <w:sz w:val="24"/>
          <w:szCs w:val="24"/>
          <w:lang w:eastAsia="fr-FR"/>
        </w:rPr>
        <w:t xml:space="preserve">s sauf pour les banques européennes. Les résultats pour les variables </w:t>
      </w:r>
      <w:r w:rsidR="00A6026B" w:rsidRPr="00A6026B">
        <w:rPr>
          <w:rFonts w:ascii="Times New Roman" w:eastAsia="Times New Roman" w:hAnsi="Times New Roman" w:cs="Times New Roman"/>
          <w:bCs/>
          <w:i/>
          <w:kern w:val="36"/>
          <w:sz w:val="24"/>
          <w:szCs w:val="24"/>
          <w:lang w:eastAsia="fr-FR"/>
        </w:rPr>
        <w:t>COT</w:t>
      </w:r>
      <w:r w:rsidR="00A6026B">
        <w:rPr>
          <w:rFonts w:ascii="Times New Roman" w:eastAsia="Times New Roman" w:hAnsi="Times New Roman" w:cs="Times New Roman"/>
          <w:bCs/>
          <w:kern w:val="36"/>
          <w:sz w:val="24"/>
          <w:szCs w:val="24"/>
          <w:lang w:eastAsia="fr-FR"/>
        </w:rPr>
        <w:t xml:space="preserve"> et </w:t>
      </w:r>
      <w:r w:rsidR="00A6026B" w:rsidRPr="00A6026B">
        <w:rPr>
          <w:rFonts w:ascii="Times New Roman" w:eastAsia="Times New Roman" w:hAnsi="Times New Roman" w:cs="Times New Roman"/>
          <w:bCs/>
          <w:i/>
          <w:kern w:val="36"/>
          <w:sz w:val="24"/>
          <w:szCs w:val="24"/>
          <w:lang w:eastAsia="fr-FR"/>
        </w:rPr>
        <w:t>EPI</w:t>
      </w:r>
      <w:r w:rsidR="00A6026B">
        <w:rPr>
          <w:rFonts w:ascii="Times New Roman" w:eastAsia="Times New Roman" w:hAnsi="Times New Roman" w:cs="Times New Roman"/>
          <w:bCs/>
          <w:kern w:val="36"/>
          <w:sz w:val="24"/>
          <w:szCs w:val="24"/>
          <w:lang w:eastAsia="fr-FR"/>
        </w:rPr>
        <w:t xml:space="preserve"> sont inchangés avec respectivement une influence négative et positive. L’impact positif des variables </w:t>
      </w:r>
      <w:r w:rsidR="00A6026B" w:rsidRPr="00A6026B">
        <w:rPr>
          <w:rFonts w:ascii="Times New Roman" w:eastAsia="Times New Roman" w:hAnsi="Times New Roman" w:cs="Times New Roman"/>
          <w:bCs/>
          <w:i/>
          <w:kern w:val="36"/>
          <w:sz w:val="24"/>
          <w:szCs w:val="24"/>
          <w:lang w:eastAsia="fr-FR"/>
        </w:rPr>
        <w:t>EUR</w:t>
      </w:r>
      <w:r w:rsidR="00A6026B">
        <w:rPr>
          <w:rFonts w:ascii="Times New Roman" w:eastAsia="Times New Roman" w:hAnsi="Times New Roman" w:cs="Times New Roman"/>
          <w:bCs/>
          <w:kern w:val="36"/>
          <w:sz w:val="24"/>
          <w:szCs w:val="24"/>
          <w:lang w:eastAsia="fr-FR"/>
        </w:rPr>
        <w:t xml:space="preserve"> et </w:t>
      </w:r>
      <w:r w:rsidR="00A6026B" w:rsidRPr="00A6026B">
        <w:rPr>
          <w:rFonts w:ascii="Times New Roman" w:eastAsia="Times New Roman" w:hAnsi="Times New Roman" w:cs="Times New Roman"/>
          <w:bCs/>
          <w:i/>
          <w:kern w:val="36"/>
          <w:sz w:val="24"/>
          <w:szCs w:val="24"/>
          <w:lang w:eastAsia="fr-FR"/>
        </w:rPr>
        <w:t>ANNEE</w:t>
      </w:r>
      <w:r w:rsidR="008B7E76">
        <w:rPr>
          <w:rFonts w:ascii="Times New Roman" w:eastAsia="Times New Roman" w:hAnsi="Times New Roman" w:cs="Times New Roman"/>
          <w:bCs/>
          <w:kern w:val="36"/>
          <w:sz w:val="24"/>
          <w:szCs w:val="24"/>
          <w:lang w:eastAsia="fr-FR"/>
        </w:rPr>
        <w:t xml:space="preserve"> est également conforté.</w:t>
      </w:r>
    </w:p>
    <w:p w:rsidR="004F4428" w:rsidRPr="00631969" w:rsidRDefault="004F4428" w:rsidP="004F4428">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fr-FR"/>
        </w:rPr>
      </w:pPr>
      <w:r w:rsidRPr="00631969">
        <w:rPr>
          <w:rFonts w:ascii="Times New Roman" w:eastAsia="Times New Roman" w:hAnsi="Times New Roman" w:cs="Times New Roman"/>
          <w:b/>
          <w:bCs/>
          <w:kern w:val="36"/>
          <w:sz w:val="24"/>
          <w:szCs w:val="24"/>
          <w:lang w:eastAsia="fr-FR"/>
        </w:rPr>
        <w:t>Tabl</w:t>
      </w:r>
      <w:r w:rsidR="0054738A">
        <w:rPr>
          <w:rFonts w:ascii="Times New Roman" w:eastAsia="Times New Roman" w:hAnsi="Times New Roman" w:cs="Times New Roman"/>
          <w:b/>
          <w:bCs/>
          <w:kern w:val="36"/>
          <w:sz w:val="24"/>
          <w:szCs w:val="24"/>
          <w:lang w:eastAsia="fr-FR"/>
        </w:rPr>
        <w:t>eau 8</w:t>
      </w:r>
      <w:r w:rsidR="00F6008C">
        <w:rPr>
          <w:rFonts w:ascii="Times New Roman" w:eastAsia="Times New Roman" w:hAnsi="Times New Roman" w:cs="Times New Roman"/>
          <w:b/>
          <w:bCs/>
          <w:kern w:val="36"/>
          <w:sz w:val="24"/>
          <w:szCs w:val="24"/>
          <w:lang w:eastAsia="fr-FR"/>
        </w:rPr>
        <w:t> : Modèles de régression -</w:t>
      </w:r>
      <w:r w:rsidRPr="00631969">
        <w:rPr>
          <w:rFonts w:ascii="Times New Roman" w:eastAsia="Times New Roman" w:hAnsi="Times New Roman" w:cs="Times New Roman"/>
          <w:b/>
          <w:bCs/>
          <w:kern w:val="36"/>
          <w:sz w:val="24"/>
          <w:szCs w:val="24"/>
          <w:lang w:eastAsia="fr-FR"/>
        </w:rPr>
        <w:t xml:space="preserve"> v</w:t>
      </w:r>
      <w:r w:rsidR="001A2BF4">
        <w:rPr>
          <w:rFonts w:ascii="Times New Roman" w:eastAsia="Times New Roman" w:hAnsi="Times New Roman" w:cs="Times New Roman"/>
          <w:b/>
          <w:bCs/>
          <w:kern w:val="36"/>
          <w:sz w:val="24"/>
          <w:szCs w:val="24"/>
          <w:lang w:eastAsia="fr-FR"/>
        </w:rPr>
        <w:t>olume de la DVI sociétale (Y=PIS</w:t>
      </w:r>
      <w:r w:rsidRPr="00631969">
        <w:rPr>
          <w:rFonts w:ascii="Times New Roman" w:eastAsia="Times New Roman" w:hAnsi="Times New Roman" w:cs="Times New Roman"/>
          <w:b/>
          <w:bCs/>
          <w:kern w:val="36"/>
          <w:sz w:val="24"/>
          <w:szCs w:val="24"/>
          <w:lang w:eastAsia="fr-FR"/>
        </w:rPr>
        <w:t>).</w:t>
      </w:r>
    </w:p>
    <w:tbl>
      <w:tblPr>
        <w:tblStyle w:val="Grilledutableau"/>
        <w:tblW w:w="0" w:type="auto"/>
        <w:jc w:val="center"/>
        <w:tblLook w:val="04A0" w:firstRow="1" w:lastRow="0" w:firstColumn="1" w:lastColumn="0" w:noHBand="0" w:noVBand="1"/>
      </w:tblPr>
      <w:tblGrid>
        <w:gridCol w:w="856"/>
        <w:gridCol w:w="1549"/>
        <w:gridCol w:w="1134"/>
        <w:gridCol w:w="997"/>
        <w:gridCol w:w="1131"/>
        <w:gridCol w:w="1131"/>
        <w:gridCol w:w="1132"/>
        <w:gridCol w:w="1132"/>
      </w:tblGrid>
      <w:tr w:rsidR="004F4428" w:rsidRPr="007A14CC" w:rsidTr="00DD1412">
        <w:trPr>
          <w:jc w:val="center"/>
        </w:trPr>
        <w:tc>
          <w:tcPr>
            <w:tcW w:w="856"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8206" w:type="dxa"/>
            <w:gridSpan w:val="7"/>
          </w:tcPr>
          <w:p w:rsidR="004F4428" w:rsidRDefault="001A2BF4"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Y = PIS</w:t>
            </w:r>
            <w:r w:rsidR="004F4428">
              <w:rPr>
                <w:rFonts w:ascii="Times New Roman" w:eastAsia="Times New Roman" w:hAnsi="Times New Roman" w:cs="Times New Roman"/>
                <w:sz w:val="16"/>
                <w:szCs w:val="16"/>
                <w:lang w:eastAsia="fr-FR"/>
              </w:rPr>
              <w:t xml:space="preserve"> (volume de la DVI sociétale)</w:t>
            </w:r>
          </w:p>
        </w:tc>
      </w:tr>
      <w:tr w:rsidR="004F4428" w:rsidRPr="007A14CC" w:rsidTr="00DD1412">
        <w:trPr>
          <w:jc w:val="center"/>
        </w:trPr>
        <w:tc>
          <w:tcPr>
            <w:tcW w:w="856"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Echantillon Total [</w:t>
            </w:r>
            <w:proofErr w:type="spellStart"/>
            <w:r>
              <w:rPr>
                <w:rFonts w:ascii="Times New Roman" w:eastAsia="Times New Roman" w:hAnsi="Times New Roman" w:cs="Times New Roman"/>
                <w:sz w:val="16"/>
                <w:szCs w:val="16"/>
                <w:lang w:eastAsia="fr-FR"/>
              </w:rPr>
              <w:t>Bootstrap</w:t>
            </w:r>
            <w:proofErr w:type="spellEnd"/>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UE</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Hors UE</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Taille +</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Banques Taille -</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Hors Banques Chinoises</w:t>
            </w:r>
          </w:p>
        </w:tc>
        <w:tc>
          <w:tcPr>
            <w:tcW w:w="1132"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Hors Banques publiques</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FEF</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1,84***</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[0,78 ; 2,92]**</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1,23</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2,24**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2,76***</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1,89*</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2,06***</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1,39</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CEF</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TAILLE</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RENTA</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COT</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-0,47***</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[-0,78 ; -0,1]</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-0,58***</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-0,13</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-0,38*</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-0,51**</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-0,48***</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-0,46</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EPI</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0,05***</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[0,02 ; 0,08]*</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0,15</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0,10*</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0,07</w:t>
            </w:r>
          </w:p>
        </w:tc>
        <w:tc>
          <w:tcPr>
            <w:tcW w:w="1132" w:type="dxa"/>
          </w:tcPr>
          <w:p w:rsidR="004F4428" w:rsidRPr="007C7C5C" w:rsidRDefault="00F154EC" w:rsidP="00F154EC">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0,05</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EUR</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3,26***</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[2,47 ; 4,04]***</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3,25***</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3,50***</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3,35***</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3,1</w:t>
            </w:r>
            <w:r w:rsidR="004F4428">
              <w:rPr>
                <w:rFonts w:ascii="Times New Roman" w:eastAsia="Times New Roman" w:hAnsi="Times New Roman" w:cs="Times New Roman"/>
                <w:sz w:val="16"/>
                <w:szCs w:val="16"/>
                <w:lang w:eastAsia="fr-FR"/>
              </w:rPr>
              <w:t>4***</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ANNEE</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1,87***</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[1,63 ; 2,19]***</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2,54***</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1,51***</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1,50***</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2,33***</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2,03***</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1,94</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Pr>
                <w:rFonts w:ascii="Times New Roman" w:hAnsi="Times New Roman" w:cs="Times New Roman"/>
                <w:sz w:val="16"/>
                <w:szCs w:val="16"/>
              </w:rPr>
              <w:t>Constante</w:t>
            </w:r>
          </w:p>
        </w:tc>
        <w:tc>
          <w:tcPr>
            <w:tcW w:w="1549" w:type="dxa"/>
          </w:tcPr>
          <w:p w:rsidR="004F4428"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-3801,5***</w:t>
            </w:r>
          </w:p>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[-4434 ; -3306]***</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-5151,22***</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-3066,96***</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-3050,77***</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-4716,20***</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-4116,55***</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-3924,57</w:t>
            </w:r>
            <w:r w:rsidR="004F4428">
              <w:rPr>
                <w:rFonts w:ascii="Times New Roman" w:eastAsia="Times New Roman" w:hAnsi="Times New Roman" w:cs="Times New Roman"/>
                <w:sz w:val="16"/>
                <w:szCs w:val="16"/>
                <w:lang w:eastAsia="fr-FR"/>
              </w:rPr>
              <w:t>***</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t>R² ajusté</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0,679</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0,652</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0,557</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0,676</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0,695</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0,666</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0,666</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r w:rsidRPr="007C7C5C">
              <w:rPr>
                <w:rFonts w:ascii="Times New Roman" w:hAnsi="Times New Roman" w:cs="Times New Roman"/>
                <w:sz w:val="16"/>
                <w:szCs w:val="16"/>
              </w:rPr>
              <w:lastRenderedPageBreak/>
              <w:t>VIF</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[1,04 ; 2,21]</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[1,05 ; 2,64]</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[1,16 ; 1,39]</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[1,01 ; 2,91]</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[1,09 ; 3,37]</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[1,05 ; 2,51]</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[1,05 ; 2,2</w:t>
            </w:r>
            <w:r w:rsidR="004F4428">
              <w:rPr>
                <w:rFonts w:ascii="Times New Roman" w:eastAsia="Times New Roman" w:hAnsi="Times New Roman" w:cs="Times New Roman"/>
                <w:sz w:val="16"/>
                <w:szCs w:val="16"/>
                <w:lang w:eastAsia="fr-FR"/>
              </w:rPr>
              <w:t>4]</w:t>
            </w:r>
          </w:p>
        </w:tc>
      </w:tr>
      <w:tr w:rsidR="004F4428" w:rsidRPr="007A14CC" w:rsidTr="00DD1412">
        <w:trPr>
          <w:jc w:val="center"/>
        </w:trPr>
        <w:tc>
          <w:tcPr>
            <w:tcW w:w="856" w:type="dxa"/>
          </w:tcPr>
          <w:p w:rsidR="004F4428" w:rsidRPr="007C7C5C" w:rsidRDefault="004F4428" w:rsidP="00DD1412">
            <w:pPr>
              <w:jc w:val="center"/>
              <w:rPr>
                <w:rFonts w:ascii="Times New Roman" w:hAnsi="Times New Roman" w:cs="Times New Roman"/>
                <w:sz w:val="16"/>
                <w:szCs w:val="16"/>
              </w:rPr>
            </w:pPr>
            <w:proofErr w:type="spellStart"/>
            <w:r w:rsidRPr="007C7C5C">
              <w:rPr>
                <w:rFonts w:ascii="Times New Roman" w:hAnsi="Times New Roman" w:cs="Times New Roman"/>
                <w:sz w:val="16"/>
                <w:szCs w:val="16"/>
              </w:rPr>
              <w:t>Durbin</w:t>
            </w:r>
            <w:proofErr w:type="spellEnd"/>
            <w:r>
              <w:rPr>
                <w:rFonts w:ascii="Times New Roman" w:hAnsi="Times New Roman" w:cs="Times New Roman"/>
                <w:sz w:val="16"/>
                <w:szCs w:val="16"/>
              </w:rPr>
              <w:t>-</w:t>
            </w:r>
            <w:r w:rsidRPr="007C7C5C">
              <w:rPr>
                <w:rFonts w:ascii="Times New Roman" w:hAnsi="Times New Roman" w:cs="Times New Roman"/>
                <w:sz w:val="16"/>
                <w:szCs w:val="16"/>
              </w:rPr>
              <w:t xml:space="preserve"> Watson</w:t>
            </w:r>
            <w:r>
              <w:rPr>
                <w:rFonts w:ascii="Times New Roman" w:hAnsi="Times New Roman" w:cs="Times New Roman"/>
                <w:sz w:val="16"/>
                <w:szCs w:val="16"/>
              </w:rPr>
              <w:t xml:space="preserve"> (p-value)</w:t>
            </w:r>
          </w:p>
        </w:tc>
        <w:tc>
          <w:tcPr>
            <w:tcW w:w="1549"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2,05 (0,918)</w:t>
            </w:r>
          </w:p>
        </w:tc>
        <w:tc>
          <w:tcPr>
            <w:tcW w:w="1134"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2,27 (0,378)</w:t>
            </w:r>
          </w:p>
        </w:tc>
        <w:tc>
          <w:tcPr>
            <w:tcW w:w="997"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1,89 (0,504)</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2,31 (0,262)</w:t>
            </w:r>
          </w:p>
        </w:tc>
        <w:tc>
          <w:tcPr>
            <w:tcW w:w="1131"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1,89 (0,492)</w:t>
            </w:r>
          </w:p>
        </w:tc>
        <w:tc>
          <w:tcPr>
            <w:tcW w:w="1132" w:type="dxa"/>
          </w:tcPr>
          <w:p w:rsidR="004F4428" w:rsidRPr="007C7C5C" w:rsidRDefault="004F4428"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1,92 (0,544)</w:t>
            </w:r>
          </w:p>
        </w:tc>
        <w:tc>
          <w:tcPr>
            <w:tcW w:w="1132" w:type="dxa"/>
          </w:tcPr>
          <w:p w:rsidR="004F4428" w:rsidRPr="007C7C5C" w:rsidRDefault="00F154EC" w:rsidP="00DD1412">
            <w:pPr>
              <w:spacing w:before="100" w:beforeAutospacing="1" w:after="100" w:afterAutospacing="1"/>
              <w:jc w:val="center"/>
              <w:outlineLvl w:val="0"/>
              <w:rPr>
                <w:rFonts w:ascii="Times New Roman" w:eastAsia="Times New Roman" w:hAnsi="Times New Roman" w:cs="Times New Roman"/>
                <w:sz w:val="16"/>
                <w:szCs w:val="16"/>
                <w:lang w:eastAsia="fr-FR"/>
              </w:rPr>
            </w:pPr>
            <w:r>
              <w:rPr>
                <w:rFonts w:ascii="Times New Roman" w:eastAsia="Times New Roman" w:hAnsi="Times New Roman" w:cs="Times New Roman"/>
                <w:sz w:val="16"/>
                <w:szCs w:val="16"/>
                <w:lang w:eastAsia="fr-FR"/>
              </w:rPr>
              <w:t>1,87 (0,41</w:t>
            </w:r>
            <w:r w:rsidR="004F4428">
              <w:rPr>
                <w:rFonts w:ascii="Times New Roman" w:eastAsia="Times New Roman" w:hAnsi="Times New Roman" w:cs="Times New Roman"/>
                <w:sz w:val="16"/>
                <w:szCs w:val="16"/>
                <w:lang w:eastAsia="fr-FR"/>
              </w:rPr>
              <w:t>2)</w:t>
            </w:r>
          </w:p>
        </w:tc>
      </w:tr>
    </w:tbl>
    <w:p w:rsidR="004F4428" w:rsidRPr="00686273" w:rsidRDefault="004F4428" w:rsidP="004F4428">
      <w:pPr>
        <w:spacing w:before="100" w:beforeAutospacing="1" w:after="100" w:afterAutospacing="1" w:line="240" w:lineRule="auto"/>
        <w:jc w:val="both"/>
        <w:outlineLvl w:val="0"/>
        <w:rPr>
          <w:rFonts w:ascii="Times New Roman" w:eastAsia="Times New Roman" w:hAnsi="Times New Roman" w:cs="Times New Roman"/>
          <w:sz w:val="20"/>
          <w:szCs w:val="20"/>
          <w:lang w:eastAsia="fr-FR"/>
        </w:rPr>
      </w:pPr>
      <w:proofErr w:type="gramStart"/>
      <w:r w:rsidRPr="005C0E58">
        <w:rPr>
          <w:rFonts w:ascii="Times New Roman" w:eastAsia="Times New Roman" w:hAnsi="Times New Roman" w:cs="Times New Roman"/>
          <w:sz w:val="20"/>
          <w:szCs w:val="20"/>
          <w:lang w:eastAsia="fr-FR"/>
        </w:rPr>
        <w:t>p</w:t>
      </w:r>
      <w:proofErr w:type="gramEnd"/>
      <w:r w:rsidRPr="005C0E58">
        <w:rPr>
          <w:rFonts w:ascii="Times New Roman" w:eastAsia="Times New Roman" w:hAnsi="Times New Roman" w:cs="Times New Roman"/>
          <w:sz w:val="20"/>
          <w:szCs w:val="20"/>
          <w:lang w:eastAsia="fr-FR"/>
        </w:rPr>
        <w:t>-significatif à 10% * ; 5% ** ; 1% ***. Résultats issus d’</w:t>
      </w:r>
      <w:r>
        <w:rPr>
          <w:rFonts w:ascii="Times New Roman" w:eastAsia="Times New Roman" w:hAnsi="Times New Roman" w:cs="Times New Roman"/>
          <w:sz w:val="20"/>
          <w:szCs w:val="20"/>
          <w:lang w:eastAsia="fr-FR"/>
        </w:rPr>
        <w:t>une régression</w:t>
      </w:r>
      <w:r w:rsidRPr="005C0E58">
        <w:rPr>
          <w:rFonts w:ascii="Times New Roman" w:eastAsia="Times New Roman" w:hAnsi="Times New Roman" w:cs="Times New Roman"/>
          <w:sz w:val="20"/>
          <w:szCs w:val="20"/>
          <w:lang w:eastAsia="fr-FR"/>
        </w:rPr>
        <w:t xml:space="preserve"> </w:t>
      </w:r>
      <w:proofErr w:type="spellStart"/>
      <w:r w:rsidRPr="005C0E58">
        <w:rPr>
          <w:rFonts w:ascii="Times New Roman" w:eastAsia="Times New Roman" w:hAnsi="Times New Roman" w:cs="Times New Roman"/>
          <w:sz w:val="20"/>
          <w:szCs w:val="20"/>
          <w:lang w:eastAsia="fr-FR"/>
        </w:rPr>
        <w:t>Leap</w:t>
      </w:r>
      <w:proofErr w:type="spellEnd"/>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Forward</w:t>
      </w:r>
      <w:proofErr w:type="spellEnd"/>
      <w:r>
        <w:rPr>
          <w:rFonts w:ascii="Times New Roman" w:eastAsia="Times New Roman" w:hAnsi="Times New Roman" w:cs="Times New Roman"/>
          <w:sz w:val="20"/>
          <w:szCs w:val="20"/>
          <w:lang w:eastAsia="fr-FR"/>
        </w:rPr>
        <w:t>. R² ajusté optimisé sur critère C</w:t>
      </w:r>
      <w:r w:rsidRPr="005C0E58">
        <w:rPr>
          <w:rFonts w:ascii="Times New Roman" w:eastAsia="Times New Roman" w:hAnsi="Times New Roman" w:cs="Times New Roman"/>
          <w:sz w:val="20"/>
          <w:szCs w:val="20"/>
          <w:lang w:eastAsia="fr-FR"/>
        </w:rPr>
        <w:t xml:space="preserve">p. </w:t>
      </w:r>
      <w:proofErr w:type="spellStart"/>
      <w:r w:rsidRPr="005C0E58">
        <w:rPr>
          <w:rFonts w:ascii="Times New Roman" w:eastAsia="Times New Roman" w:hAnsi="Times New Roman" w:cs="Times New Roman"/>
          <w:sz w:val="20"/>
          <w:szCs w:val="20"/>
          <w:lang w:eastAsia="fr-FR"/>
        </w:rPr>
        <w:t>Bootstrap</w:t>
      </w:r>
      <w:proofErr w:type="spellEnd"/>
      <w:r w:rsidRPr="005C0E58">
        <w:rPr>
          <w:rFonts w:ascii="Times New Roman" w:eastAsia="Times New Roman" w:hAnsi="Times New Roman" w:cs="Times New Roman"/>
          <w:sz w:val="20"/>
          <w:szCs w:val="20"/>
          <w:lang w:eastAsia="fr-FR"/>
        </w:rPr>
        <w:t xml:space="preserve"> de 500 itérations : intervalles de valeurs des coefficients [2,5% ; 97,5%].</w:t>
      </w:r>
      <w:r>
        <w:rPr>
          <w:rFonts w:ascii="Times New Roman" w:eastAsia="Times New Roman" w:hAnsi="Times New Roman" w:cs="Times New Roman"/>
          <w:sz w:val="20"/>
          <w:szCs w:val="20"/>
          <w:lang w:eastAsia="fr-FR"/>
        </w:rPr>
        <w:t xml:space="preserve"> </w:t>
      </w:r>
      <w:r w:rsidRPr="00A05AF8">
        <w:rPr>
          <w:rFonts w:ascii="Times New Roman" w:eastAsia="Times New Roman" w:hAnsi="Times New Roman" w:cs="Times New Roman"/>
          <w:sz w:val="20"/>
          <w:szCs w:val="20"/>
          <w:lang w:eastAsia="fr-FR"/>
        </w:rPr>
        <w:t xml:space="preserve">Le modèle écrémé retient 5 variables explicatives. Il est reproduit sur plusieurs sous-échantillons : UE / Hors UE ; Plus grande taille / Plus petite taille ; Hors banques chinoises ; Hors banques publiques. </w:t>
      </w:r>
      <w:r>
        <w:rPr>
          <w:rFonts w:ascii="Times New Roman" w:eastAsia="Times New Roman" w:hAnsi="Times New Roman" w:cs="Times New Roman"/>
          <w:b/>
          <w:sz w:val="20"/>
          <w:szCs w:val="20"/>
          <w:lang w:eastAsia="fr-FR"/>
        </w:rPr>
        <w:t xml:space="preserve">Données 2017-2020 </w:t>
      </w:r>
      <w:r w:rsidR="001A2BF4">
        <w:rPr>
          <w:rFonts w:ascii="Times New Roman" w:eastAsia="Times New Roman" w:hAnsi="Times New Roman" w:cs="Times New Roman"/>
          <w:sz w:val="20"/>
          <w:szCs w:val="20"/>
          <w:lang w:eastAsia="fr-FR"/>
        </w:rPr>
        <w:t xml:space="preserve">: </w:t>
      </w:r>
      <w:r w:rsidR="001A2BF4" w:rsidRPr="001A2BF4">
        <w:rPr>
          <w:rFonts w:ascii="Times New Roman" w:eastAsia="Times New Roman" w:hAnsi="Times New Roman" w:cs="Times New Roman"/>
          <w:i/>
          <w:sz w:val="20"/>
          <w:szCs w:val="20"/>
          <w:lang w:eastAsia="fr-FR"/>
        </w:rPr>
        <w:t>PIS</w:t>
      </w:r>
      <w:r w:rsidR="001A2BF4">
        <w:rPr>
          <w:rFonts w:ascii="Times New Roman" w:eastAsia="Times New Roman" w:hAnsi="Times New Roman" w:cs="Times New Roman"/>
          <w:sz w:val="20"/>
          <w:szCs w:val="20"/>
          <w:lang w:eastAsia="fr-FR"/>
        </w:rPr>
        <w:t> : politiques d’investissement sociétales</w:t>
      </w:r>
      <w:r>
        <w:rPr>
          <w:rFonts w:ascii="Times New Roman" w:eastAsia="Times New Roman" w:hAnsi="Times New Roman" w:cs="Times New Roman"/>
          <w:sz w:val="20"/>
          <w:szCs w:val="20"/>
          <w:lang w:eastAsia="fr-FR"/>
        </w:rPr>
        <w:t xml:space="preserve">, volume de la DVI sociétale. </w:t>
      </w:r>
      <w:r w:rsidRPr="00040F24">
        <w:rPr>
          <w:rFonts w:ascii="Times New Roman" w:eastAsia="Times New Roman" w:hAnsi="Times New Roman" w:cs="Times New Roman"/>
          <w:b/>
          <w:sz w:val="20"/>
          <w:szCs w:val="20"/>
          <w:lang w:eastAsia="fr-FR"/>
        </w:rPr>
        <w:t>Données 2016-2019</w:t>
      </w:r>
      <w:r>
        <w:rPr>
          <w:rFonts w:ascii="Times New Roman" w:eastAsia="Times New Roman" w:hAnsi="Times New Roman" w:cs="Times New Roman"/>
          <w:sz w:val="20"/>
          <w:szCs w:val="20"/>
          <w:lang w:eastAsia="fr-FR"/>
        </w:rPr>
        <w:t xml:space="preserve"> : </w:t>
      </w:r>
      <w:r w:rsidRPr="00705967">
        <w:rPr>
          <w:rFonts w:ascii="Times New Roman" w:eastAsia="Times New Roman" w:hAnsi="Times New Roman" w:cs="Times New Roman"/>
          <w:i/>
          <w:sz w:val="20"/>
          <w:szCs w:val="20"/>
          <w:lang w:eastAsia="fr-FR"/>
        </w:rPr>
        <w:t>FEF</w:t>
      </w:r>
      <w:r>
        <w:rPr>
          <w:rFonts w:ascii="Times New Roman" w:eastAsia="Times New Roman" w:hAnsi="Times New Roman" w:cs="Times New Roman"/>
          <w:sz w:val="20"/>
          <w:szCs w:val="20"/>
          <w:lang w:eastAsia="fr-FR"/>
        </w:rPr>
        <w:t xml:space="preserve"> : Log du financement annuel aux entreprises des filières fossiles (2100 entreprises), performance environnementale ; </w:t>
      </w:r>
      <w:r w:rsidRPr="00705967">
        <w:rPr>
          <w:rFonts w:ascii="Times New Roman" w:eastAsia="Times New Roman" w:hAnsi="Times New Roman" w:cs="Times New Roman"/>
          <w:i/>
          <w:sz w:val="20"/>
          <w:szCs w:val="20"/>
          <w:lang w:eastAsia="fr-FR"/>
        </w:rPr>
        <w:t>CEF</w:t>
      </w:r>
      <w:r>
        <w:rPr>
          <w:rFonts w:ascii="Times New Roman" w:eastAsia="Times New Roman" w:hAnsi="Times New Roman" w:cs="Times New Roman"/>
          <w:sz w:val="20"/>
          <w:szCs w:val="20"/>
          <w:lang w:eastAsia="fr-FR"/>
        </w:rPr>
        <w:t xml:space="preserve"> : Log du financement annuel aux entreprises (100 firmes) ayant des projets de développement dans les filières fossiles, performance environnementale ; </w:t>
      </w:r>
      <w:r w:rsidRPr="00705967">
        <w:rPr>
          <w:rFonts w:ascii="Times New Roman" w:eastAsia="Times New Roman" w:hAnsi="Times New Roman" w:cs="Times New Roman"/>
          <w:i/>
          <w:sz w:val="20"/>
          <w:szCs w:val="20"/>
          <w:lang w:eastAsia="fr-FR"/>
        </w:rPr>
        <w:t>TAILLE </w:t>
      </w:r>
      <w:r>
        <w:rPr>
          <w:rFonts w:ascii="Times New Roman" w:eastAsia="Times New Roman" w:hAnsi="Times New Roman" w:cs="Times New Roman"/>
          <w:sz w:val="20"/>
          <w:szCs w:val="20"/>
          <w:lang w:eastAsia="fr-FR"/>
        </w:rPr>
        <w:t xml:space="preserve">: Log du total des actifs de la banque ; </w:t>
      </w:r>
      <w:r w:rsidRPr="00705967">
        <w:rPr>
          <w:rFonts w:ascii="Times New Roman" w:eastAsia="Times New Roman" w:hAnsi="Times New Roman" w:cs="Times New Roman"/>
          <w:i/>
          <w:sz w:val="20"/>
          <w:szCs w:val="20"/>
          <w:lang w:eastAsia="fr-FR"/>
        </w:rPr>
        <w:t>RENTA</w:t>
      </w:r>
      <w:r>
        <w:rPr>
          <w:rFonts w:ascii="Times New Roman" w:eastAsia="Times New Roman" w:hAnsi="Times New Roman" w:cs="Times New Roman"/>
          <w:sz w:val="20"/>
          <w:szCs w:val="20"/>
          <w:lang w:eastAsia="fr-FR"/>
        </w:rPr>
        <w:t xml:space="preserve"> : Return On </w:t>
      </w:r>
      <w:proofErr w:type="spellStart"/>
      <w:r>
        <w:rPr>
          <w:rFonts w:ascii="Times New Roman" w:eastAsia="Times New Roman" w:hAnsi="Times New Roman" w:cs="Times New Roman"/>
          <w:sz w:val="20"/>
          <w:szCs w:val="20"/>
          <w:lang w:eastAsia="fr-FR"/>
        </w:rPr>
        <w:t>Assets</w:t>
      </w:r>
      <w:proofErr w:type="spellEnd"/>
      <w:r>
        <w:rPr>
          <w:rFonts w:ascii="Times New Roman" w:eastAsia="Times New Roman" w:hAnsi="Times New Roman" w:cs="Times New Roman"/>
          <w:sz w:val="20"/>
          <w:szCs w:val="20"/>
          <w:lang w:eastAsia="fr-FR"/>
        </w:rPr>
        <w:t xml:space="preserve"> (ROA) de la banque, en % ; </w:t>
      </w:r>
      <w:r w:rsidRPr="00705967">
        <w:rPr>
          <w:rFonts w:ascii="Times New Roman" w:eastAsia="Times New Roman" w:hAnsi="Times New Roman" w:cs="Times New Roman"/>
          <w:i/>
          <w:sz w:val="20"/>
          <w:szCs w:val="20"/>
          <w:lang w:eastAsia="fr-FR"/>
        </w:rPr>
        <w:t>COT</w:t>
      </w:r>
      <w:r>
        <w:rPr>
          <w:rFonts w:ascii="Times New Roman" w:eastAsia="Times New Roman" w:hAnsi="Times New Roman" w:cs="Times New Roman"/>
          <w:sz w:val="20"/>
          <w:szCs w:val="20"/>
          <w:lang w:eastAsia="fr-FR"/>
        </w:rPr>
        <w:t xml:space="preserve"> : nombre de places boursières sur lesquelles la banque est cotée (valeur fixe sur la période 2016-2019) ; </w:t>
      </w:r>
      <w:r w:rsidRPr="00705967">
        <w:rPr>
          <w:rFonts w:ascii="Times New Roman" w:eastAsia="Times New Roman" w:hAnsi="Times New Roman" w:cs="Times New Roman"/>
          <w:i/>
          <w:sz w:val="20"/>
          <w:szCs w:val="20"/>
          <w:lang w:eastAsia="fr-FR"/>
        </w:rPr>
        <w:t>EPI</w:t>
      </w:r>
      <w:r>
        <w:rPr>
          <w:rFonts w:ascii="Times New Roman" w:eastAsia="Times New Roman" w:hAnsi="Times New Roman" w:cs="Times New Roman"/>
          <w:sz w:val="20"/>
          <w:szCs w:val="20"/>
          <w:lang w:eastAsia="fr-FR"/>
        </w:rPr>
        <w:t xml:space="preserve"> : indice de performance environnementale du pays d’origine de la banque (/100) ; </w:t>
      </w:r>
      <w:r w:rsidR="00A6026B" w:rsidRPr="00A6026B">
        <w:rPr>
          <w:rFonts w:ascii="Times New Roman" w:eastAsia="Times New Roman" w:hAnsi="Times New Roman" w:cs="Times New Roman"/>
          <w:i/>
          <w:sz w:val="20"/>
          <w:szCs w:val="20"/>
          <w:lang w:eastAsia="fr-FR"/>
        </w:rPr>
        <w:t>EUR</w:t>
      </w:r>
      <w:r w:rsidR="00A6026B">
        <w:rPr>
          <w:rFonts w:ascii="Times New Roman" w:eastAsia="Times New Roman" w:hAnsi="Times New Roman" w:cs="Times New Roman"/>
          <w:sz w:val="20"/>
          <w:szCs w:val="20"/>
          <w:lang w:eastAsia="fr-FR"/>
        </w:rPr>
        <w:t xml:space="preserve"> : variable dichotomique, =1 si le pays d’origine de la banque appartient à l’UE, 0 sinon ; </w:t>
      </w:r>
      <w:r w:rsidRPr="00705967">
        <w:rPr>
          <w:rFonts w:ascii="Times New Roman" w:eastAsia="Times New Roman" w:hAnsi="Times New Roman" w:cs="Times New Roman"/>
          <w:i/>
          <w:sz w:val="20"/>
          <w:szCs w:val="20"/>
          <w:lang w:eastAsia="fr-FR"/>
        </w:rPr>
        <w:t>ANNEE</w:t>
      </w:r>
      <w:r>
        <w:rPr>
          <w:rFonts w:ascii="Times New Roman" w:eastAsia="Times New Roman" w:hAnsi="Times New Roman" w:cs="Times New Roman"/>
          <w:sz w:val="20"/>
          <w:szCs w:val="20"/>
          <w:lang w:eastAsia="fr-FR"/>
        </w:rPr>
        <w:t> : variable codée de 1 à 4 (années de la période 2016-2019).</w:t>
      </w:r>
    </w:p>
    <w:p w:rsidR="00FB5654" w:rsidRPr="00FB5654" w:rsidRDefault="00FB5654" w:rsidP="00FB5654">
      <w:pPr>
        <w:spacing w:before="100" w:beforeAutospacing="1" w:after="100" w:afterAutospacing="1" w:line="480" w:lineRule="auto"/>
        <w:jc w:val="both"/>
        <w:outlineLvl w:val="0"/>
        <w:rPr>
          <w:rFonts w:ascii="Times New Roman" w:eastAsia="Times New Roman" w:hAnsi="Times New Roman" w:cs="Times New Roman"/>
          <w:b/>
          <w:bCs/>
          <w:kern w:val="36"/>
          <w:sz w:val="24"/>
          <w:szCs w:val="24"/>
          <w:lang w:eastAsia="fr-FR"/>
        </w:rPr>
      </w:pPr>
      <w:r>
        <w:rPr>
          <w:rFonts w:ascii="Times New Roman" w:eastAsia="Times New Roman" w:hAnsi="Times New Roman" w:cs="Times New Roman"/>
          <w:b/>
          <w:bCs/>
          <w:kern w:val="36"/>
          <w:sz w:val="24"/>
          <w:szCs w:val="24"/>
          <w:lang w:eastAsia="fr-FR"/>
        </w:rPr>
        <w:t>4.3</w:t>
      </w:r>
      <w:r w:rsidRPr="00255584">
        <w:rPr>
          <w:rFonts w:ascii="Times New Roman" w:eastAsia="Times New Roman" w:hAnsi="Times New Roman" w:cs="Times New Roman"/>
          <w:b/>
          <w:bCs/>
          <w:kern w:val="36"/>
          <w:sz w:val="24"/>
          <w:szCs w:val="24"/>
          <w:lang w:eastAsia="fr-FR"/>
        </w:rPr>
        <w:t xml:space="preserve"> </w:t>
      </w:r>
      <w:r w:rsidR="00705967">
        <w:rPr>
          <w:rFonts w:ascii="Times New Roman" w:eastAsia="Times New Roman" w:hAnsi="Times New Roman" w:cs="Times New Roman"/>
          <w:b/>
          <w:bCs/>
          <w:kern w:val="36"/>
          <w:sz w:val="24"/>
          <w:szCs w:val="24"/>
          <w:lang w:eastAsia="fr-FR"/>
        </w:rPr>
        <w:t>Tests complémentaires</w:t>
      </w:r>
      <w:r w:rsidR="00331109">
        <w:rPr>
          <w:rStyle w:val="Appelnotedebasdep"/>
          <w:rFonts w:ascii="Times New Roman" w:eastAsia="Times New Roman" w:hAnsi="Times New Roman" w:cs="Times New Roman"/>
          <w:b/>
          <w:bCs/>
          <w:kern w:val="36"/>
          <w:sz w:val="24"/>
          <w:szCs w:val="24"/>
          <w:lang w:eastAsia="fr-FR"/>
        </w:rPr>
        <w:footnoteReference w:id="16"/>
      </w:r>
    </w:p>
    <w:p w:rsidR="00FB5654" w:rsidRDefault="001238DD" w:rsidP="00FB5654">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Des</w:t>
      </w:r>
      <w:r w:rsidR="00FB5654">
        <w:rPr>
          <w:rFonts w:ascii="Times New Roman" w:eastAsia="Times New Roman" w:hAnsi="Times New Roman" w:cs="Times New Roman"/>
          <w:bCs/>
          <w:kern w:val="36"/>
          <w:sz w:val="24"/>
          <w:szCs w:val="24"/>
          <w:lang w:eastAsia="fr-FR"/>
        </w:rPr>
        <w:t xml:space="preserve"> tests complémentaires ont été menés en utilisant les mêmes modèles optimisés sur des sous-échantillons excluant respectivement les banques coopératives et mutualistes et les banques américaines : les conclusions sont inchangées. De même, introduire des variables dichotomiques pour chaque année de la période n’affecte pas les résultats. </w:t>
      </w:r>
    </w:p>
    <w:p w:rsidR="00BD3009" w:rsidRDefault="00BD3009" w:rsidP="00FB5654">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Afin d’approfondir l’h</w:t>
      </w:r>
      <w:r w:rsidR="0060210E">
        <w:rPr>
          <w:rFonts w:ascii="Times New Roman" w:eastAsia="Times New Roman" w:hAnsi="Times New Roman" w:cs="Times New Roman"/>
          <w:bCs/>
          <w:kern w:val="36"/>
          <w:sz w:val="24"/>
          <w:szCs w:val="24"/>
          <w:lang w:eastAsia="fr-FR"/>
        </w:rPr>
        <w:t>ypothèse néo-institutionnelle concernant</w:t>
      </w:r>
      <w:r>
        <w:rPr>
          <w:rFonts w:ascii="Times New Roman" w:eastAsia="Times New Roman" w:hAnsi="Times New Roman" w:cs="Times New Roman"/>
          <w:bCs/>
          <w:kern w:val="36"/>
          <w:sz w:val="24"/>
          <w:szCs w:val="24"/>
          <w:lang w:eastAsia="fr-FR"/>
        </w:rPr>
        <w:t xml:space="preserve"> l’influence du contexte national sur la DVI extra-financière des banques, deux autres indicateurs ont été collectés et testés dans les modèles précédents. Le premier est général et annuel : le </w:t>
      </w:r>
      <w:r w:rsidRPr="001238DD">
        <w:rPr>
          <w:rFonts w:ascii="Times New Roman" w:eastAsia="Times New Roman" w:hAnsi="Times New Roman" w:cs="Times New Roman"/>
          <w:bCs/>
          <w:i/>
          <w:kern w:val="36"/>
          <w:sz w:val="24"/>
          <w:szCs w:val="24"/>
          <w:lang w:eastAsia="fr-FR"/>
        </w:rPr>
        <w:t xml:space="preserve">World </w:t>
      </w:r>
      <w:proofErr w:type="spellStart"/>
      <w:r w:rsidRPr="001238DD">
        <w:rPr>
          <w:rFonts w:ascii="Times New Roman" w:eastAsia="Times New Roman" w:hAnsi="Times New Roman" w:cs="Times New Roman"/>
          <w:bCs/>
          <w:i/>
          <w:kern w:val="36"/>
          <w:sz w:val="24"/>
          <w:szCs w:val="24"/>
          <w:lang w:eastAsia="fr-FR"/>
        </w:rPr>
        <w:t>Governance</w:t>
      </w:r>
      <w:proofErr w:type="spellEnd"/>
      <w:r w:rsidRPr="001238DD">
        <w:rPr>
          <w:rFonts w:ascii="Times New Roman" w:eastAsia="Times New Roman" w:hAnsi="Times New Roman" w:cs="Times New Roman"/>
          <w:bCs/>
          <w:i/>
          <w:kern w:val="36"/>
          <w:sz w:val="24"/>
          <w:szCs w:val="24"/>
          <w:lang w:eastAsia="fr-FR"/>
        </w:rPr>
        <w:t xml:space="preserve"> </w:t>
      </w:r>
      <w:proofErr w:type="spellStart"/>
      <w:r w:rsidRPr="001238DD">
        <w:rPr>
          <w:rFonts w:ascii="Times New Roman" w:eastAsia="Times New Roman" w:hAnsi="Times New Roman" w:cs="Times New Roman"/>
          <w:bCs/>
          <w:i/>
          <w:kern w:val="36"/>
          <w:sz w:val="24"/>
          <w:szCs w:val="24"/>
          <w:lang w:eastAsia="fr-FR"/>
        </w:rPr>
        <w:t>Indicator</w:t>
      </w:r>
      <w:proofErr w:type="spellEnd"/>
      <w:r>
        <w:rPr>
          <w:rFonts w:ascii="Times New Roman" w:eastAsia="Times New Roman" w:hAnsi="Times New Roman" w:cs="Times New Roman"/>
          <w:bCs/>
          <w:kern w:val="36"/>
          <w:sz w:val="24"/>
          <w:szCs w:val="24"/>
          <w:lang w:eastAsia="fr-FR"/>
        </w:rPr>
        <w:t xml:space="preserve"> (WGI) mesure la qualité de la gouvernance des pays d’origine selon six dimensions</w:t>
      </w:r>
      <w:r w:rsidR="00ED3EF2">
        <w:rPr>
          <w:rFonts w:ascii="Times New Roman" w:eastAsia="Times New Roman" w:hAnsi="Times New Roman" w:cs="Times New Roman"/>
          <w:bCs/>
          <w:kern w:val="36"/>
          <w:sz w:val="24"/>
          <w:szCs w:val="24"/>
          <w:lang w:eastAsia="fr-FR"/>
        </w:rPr>
        <w:t xml:space="preserve"> </w:t>
      </w:r>
      <w:r w:rsidR="00116300">
        <w:rPr>
          <w:rFonts w:ascii="Times New Roman" w:eastAsia="Times New Roman" w:hAnsi="Times New Roman" w:cs="Times New Roman"/>
          <w:bCs/>
          <w:kern w:val="36"/>
          <w:sz w:val="24"/>
          <w:szCs w:val="24"/>
          <w:lang w:eastAsia="fr-FR"/>
        </w:rPr>
        <w:t xml:space="preserve">(voix et responsabilité, stabilité politique, efficacité du gouvernement, qualité de la réglementation, Etat de droit, contrôle de la corruption) </w:t>
      </w:r>
      <w:r w:rsidR="00ED3EF2">
        <w:rPr>
          <w:rFonts w:ascii="Times New Roman" w:eastAsia="Times New Roman" w:hAnsi="Times New Roman" w:cs="Times New Roman"/>
          <w:bCs/>
          <w:kern w:val="36"/>
          <w:sz w:val="24"/>
          <w:szCs w:val="24"/>
          <w:lang w:eastAsia="fr-FR"/>
        </w:rPr>
        <w:t>et attribue une note comprise entre [-15</w:t>
      </w:r>
      <w:proofErr w:type="gramStart"/>
      <w:r w:rsidR="00ED3EF2">
        <w:rPr>
          <w:rFonts w:ascii="Times New Roman" w:eastAsia="Times New Roman" w:hAnsi="Times New Roman" w:cs="Times New Roman"/>
          <w:bCs/>
          <w:kern w:val="36"/>
          <w:sz w:val="24"/>
          <w:szCs w:val="24"/>
          <w:lang w:eastAsia="fr-FR"/>
        </w:rPr>
        <w:t> ;+</w:t>
      </w:r>
      <w:proofErr w:type="gramEnd"/>
      <w:r w:rsidR="00ED3EF2">
        <w:rPr>
          <w:rFonts w:ascii="Times New Roman" w:eastAsia="Times New Roman" w:hAnsi="Times New Roman" w:cs="Times New Roman"/>
          <w:bCs/>
          <w:kern w:val="36"/>
          <w:sz w:val="24"/>
          <w:szCs w:val="24"/>
          <w:lang w:eastAsia="fr-FR"/>
        </w:rPr>
        <w:t>15]</w:t>
      </w:r>
      <w:r w:rsidR="00116300">
        <w:rPr>
          <w:rFonts w:ascii="Times New Roman" w:eastAsia="Times New Roman" w:hAnsi="Times New Roman" w:cs="Times New Roman"/>
          <w:bCs/>
          <w:kern w:val="36"/>
          <w:sz w:val="24"/>
          <w:szCs w:val="24"/>
          <w:lang w:eastAsia="fr-FR"/>
        </w:rPr>
        <w:t>.</w:t>
      </w:r>
      <w:r>
        <w:rPr>
          <w:rFonts w:ascii="Times New Roman" w:eastAsia="Times New Roman" w:hAnsi="Times New Roman" w:cs="Times New Roman"/>
          <w:bCs/>
          <w:kern w:val="36"/>
          <w:sz w:val="24"/>
          <w:szCs w:val="24"/>
          <w:lang w:eastAsia="fr-FR"/>
        </w:rPr>
        <w:t xml:space="preserve"> La qualité de la gouvernance devrait influencer positivement le niveau de DVI</w:t>
      </w:r>
      <w:r w:rsidR="00D878E7">
        <w:rPr>
          <w:rFonts w:ascii="Times New Roman" w:eastAsia="Times New Roman" w:hAnsi="Times New Roman" w:cs="Times New Roman"/>
          <w:bCs/>
          <w:kern w:val="36"/>
          <w:sz w:val="24"/>
          <w:szCs w:val="24"/>
          <w:lang w:eastAsia="fr-FR"/>
        </w:rPr>
        <w:t xml:space="preserve"> (</w:t>
      </w:r>
      <w:r w:rsidR="00DC6239">
        <w:rPr>
          <w:rFonts w:ascii="Times New Roman" w:eastAsia="Times New Roman" w:hAnsi="Times New Roman" w:cs="Times New Roman"/>
          <w:bCs/>
          <w:kern w:val="36"/>
          <w:sz w:val="24"/>
          <w:szCs w:val="24"/>
          <w:lang w:eastAsia="fr-FR"/>
        </w:rPr>
        <w:t>De Villiers et Marques 2016</w:t>
      </w:r>
      <w:r w:rsidR="00D878E7">
        <w:rPr>
          <w:rFonts w:ascii="Times New Roman" w:eastAsia="Times New Roman" w:hAnsi="Times New Roman" w:cs="Times New Roman"/>
          <w:bCs/>
          <w:kern w:val="36"/>
          <w:sz w:val="24"/>
          <w:szCs w:val="24"/>
          <w:lang w:eastAsia="fr-FR"/>
        </w:rPr>
        <w:t>)</w:t>
      </w:r>
      <w:r>
        <w:rPr>
          <w:rFonts w:ascii="Times New Roman" w:eastAsia="Times New Roman" w:hAnsi="Times New Roman" w:cs="Times New Roman"/>
          <w:bCs/>
          <w:kern w:val="36"/>
          <w:sz w:val="24"/>
          <w:szCs w:val="24"/>
          <w:lang w:eastAsia="fr-FR"/>
        </w:rPr>
        <w:t>. L</w:t>
      </w:r>
      <w:r w:rsidR="00D878E7">
        <w:rPr>
          <w:rFonts w:ascii="Times New Roman" w:eastAsia="Times New Roman" w:hAnsi="Times New Roman" w:cs="Times New Roman"/>
          <w:bCs/>
          <w:kern w:val="36"/>
          <w:sz w:val="24"/>
          <w:szCs w:val="24"/>
          <w:lang w:eastAsia="fr-FR"/>
        </w:rPr>
        <w:t xml:space="preserve">e second offre un autre proxy de la performance environnementale du pays : l’indice annuel </w:t>
      </w:r>
      <w:r w:rsidR="00ED3EF2">
        <w:rPr>
          <w:rFonts w:ascii="Times New Roman" w:eastAsia="Times New Roman" w:hAnsi="Times New Roman" w:cs="Times New Roman"/>
          <w:bCs/>
          <w:kern w:val="36"/>
          <w:sz w:val="24"/>
          <w:szCs w:val="24"/>
          <w:lang w:eastAsia="fr-FR"/>
        </w:rPr>
        <w:t xml:space="preserve">(sur 100) </w:t>
      </w:r>
      <w:r w:rsidR="00D878E7" w:rsidRPr="001238DD">
        <w:rPr>
          <w:rFonts w:ascii="Times New Roman" w:eastAsia="Times New Roman" w:hAnsi="Times New Roman" w:cs="Times New Roman"/>
          <w:bCs/>
          <w:i/>
          <w:kern w:val="36"/>
          <w:sz w:val="24"/>
          <w:szCs w:val="24"/>
          <w:lang w:eastAsia="fr-FR"/>
        </w:rPr>
        <w:t>Notre-Dame Gain</w:t>
      </w:r>
      <w:r w:rsidR="00D878E7">
        <w:rPr>
          <w:rFonts w:ascii="Times New Roman" w:eastAsia="Times New Roman" w:hAnsi="Times New Roman" w:cs="Times New Roman"/>
          <w:bCs/>
          <w:kern w:val="36"/>
          <w:sz w:val="24"/>
          <w:szCs w:val="24"/>
          <w:lang w:eastAsia="fr-FR"/>
        </w:rPr>
        <w:t xml:space="preserve"> (NDG). Il agrège une note de vulnérabilité et un score lié à la capacité d’adaptation environnementale de l’Etat (économique, sociale et gouvernance). </w:t>
      </w:r>
      <w:r w:rsidR="00D878E7">
        <w:rPr>
          <w:rFonts w:ascii="Times New Roman" w:eastAsia="Times New Roman" w:hAnsi="Times New Roman" w:cs="Times New Roman"/>
          <w:bCs/>
          <w:kern w:val="36"/>
          <w:sz w:val="24"/>
          <w:szCs w:val="24"/>
          <w:lang w:eastAsia="fr-FR"/>
        </w:rPr>
        <w:lastRenderedPageBreak/>
        <w:t xml:space="preserve">D’autres indices étaient envisageables mais non encore calculés sur la période d’étude : le </w:t>
      </w:r>
      <w:r w:rsidR="00D878E7" w:rsidRPr="001238DD">
        <w:rPr>
          <w:rFonts w:ascii="Times New Roman" w:eastAsia="Times New Roman" w:hAnsi="Times New Roman" w:cs="Times New Roman"/>
          <w:bCs/>
          <w:i/>
          <w:kern w:val="36"/>
          <w:sz w:val="24"/>
          <w:szCs w:val="24"/>
          <w:lang w:eastAsia="fr-FR"/>
        </w:rPr>
        <w:t>Green Future Index</w:t>
      </w:r>
      <w:r w:rsidR="00D878E7">
        <w:rPr>
          <w:rFonts w:ascii="Times New Roman" w:eastAsia="Times New Roman" w:hAnsi="Times New Roman" w:cs="Times New Roman"/>
          <w:bCs/>
          <w:kern w:val="36"/>
          <w:sz w:val="24"/>
          <w:szCs w:val="24"/>
          <w:lang w:eastAsia="fr-FR"/>
        </w:rPr>
        <w:t xml:space="preserve"> (disponible à partir de 2021) et l’</w:t>
      </w:r>
      <w:proofErr w:type="spellStart"/>
      <w:r w:rsidR="00D878E7" w:rsidRPr="001238DD">
        <w:rPr>
          <w:rFonts w:ascii="Times New Roman" w:eastAsia="Times New Roman" w:hAnsi="Times New Roman" w:cs="Times New Roman"/>
          <w:bCs/>
          <w:i/>
          <w:kern w:val="36"/>
          <w:sz w:val="24"/>
          <w:szCs w:val="24"/>
          <w:lang w:eastAsia="fr-FR"/>
        </w:rPr>
        <w:t>Energy</w:t>
      </w:r>
      <w:proofErr w:type="spellEnd"/>
      <w:r w:rsidR="00D878E7" w:rsidRPr="001238DD">
        <w:rPr>
          <w:rFonts w:ascii="Times New Roman" w:eastAsia="Times New Roman" w:hAnsi="Times New Roman" w:cs="Times New Roman"/>
          <w:bCs/>
          <w:i/>
          <w:kern w:val="36"/>
          <w:sz w:val="24"/>
          <w:szCs w:val="24"/>
          <w:lang w:eastAsia="fr-FR"/>
        </w:rPr>
        <w:t xml:space="preserve"> Transition Index </w:t>
      </w:r>
      <w:r w:rsidR="00D878E7">
        <w:rPr>
          <w:rFonts w:ascii="Times New Roman" w:eastAsia="Times New Roman" w:hAnsi="Times New Roman" w:cs="Times New Roman"/>
          <w:bCs/>
          <w:kern w:val="36"/>
          <w:sz w:val="24"/>
          <w:szCs w:val="24"/>
          <w:lang w:eastAsia="fr-FR"/>
        </w:rPr>
        <w:t xml:space="preserve">(disponible à partir de 2019). </w:t>
      </w:r>
      <w:r w:rsidR="00ED3EF2">
        <w:rPr>
          <w:rFonts w:ascii="Times New Roman" w:eastAsia="Times New Roman" w:hAnsi="Times New Roman" w:cs="Times New Roman"/>
          <w:bCs/>
          <w:kern w:val="36"/>
          <w:sz w:val="24"/>
          <w:szCs w:val="24"/>
          <w:lang w:eastAsia="fr-FR"/>
        </w:rPr>
        <w:t xml:space="preserve">L’introduction des variables </w:t>
      </w:r>
      <w:r w:rsidR="00ED3EF2" w:rsidRPr="000C1777">
        <w:rPr>
          <w:rFonts w:ascii="Times New Roman" w:eastAsia="Times New Roman" w:hAnsi="Times New Roman" w:cs="Times New Roman"/>
          <w:bCs/>
          <w:i/>
          <w:kern w:val="36"/>
          <w:sz w:val="24"/>
          <w:szCs w:val="24"/>
          <w:lang w:eastAsia="fr-FR"/>
        </w:rPr>
        <w:t>WGI</w:t>
      </w:r>
      <w:r w:rsidR="00ED3EF2">
        <w:rPr>
          <w:rFonts w:ascii="Times New Roman" w:eastAsia="Times New Roman" w:hAnsi="Times New Roman" w:cs="Times New Roman"/>
          <w:bCs/>
          <w:kern w:val="36"/>
          <w:sz w:val="24"/>
          <w:szCs w:val="24"/>
          <w:lang w:eastAsia="fr-FR"/>
        </w:rPr>
        <w:t xml:space="preserve"> et </w:t>
      </w:r>
      <w:r w:rsidR="00ED3EF2" w:rsidRPr="000C1777">
        <w:rPr>
          <w:rFonts w:ascii="Times New Roman" w:eastAsia="Times New Roman" w:hAnsi="Times New Roman" w:cs="Times New Roman"/>
          <w:bCs/>
          <w:i/>
          <w:kern w:val="36"/>
          <w:sz w:val="24"/>
          <w:szCs w:val="24"/>
          <w:lang w:eastAsia="fr-FR"/>
        </w:rPr>
        <w:t>NDG</w:t>
      </w:r>
      <w:r w:rsidR="00ED3EF2">
        <w:rPr>
          <w:rFonts w:ascii="Times New Roman" w:eastAsia="Times New Roman" w:hAnsi="Times New Roman" w:cs="Times New Roman"/>
          <w:bCs/>
          <w:kern w:val="36"/>
          <w:sz w:val="24"/>
          <w:szCs w:val="24"/>
          <w:lang w:eastAsia="fr-FR"/>
        </w:rPr>
        <w:t xml:space="preserve"> en lieu et place</w:t>
      </w:r>
      <w:r w:rsidR="00116300">
        <w:rPr>
          <w:rFonts w:ascii="Times New Roman" w:eastAsia="Times New Roman" w:hAnsi="Times New Roman" w:cs="Times New Roman"/>
          <w:bCs/>
          <w:kern w:val="36"/>
          <w:sz w:val="24"/>
          <w:szCs w:val="24"/>
          <w:lang w:eastAsia="fr-FR"/>
        </w:rPr>
        <w:t xml:space="preserve"> de la variable </w:t>
      </w:r>
      <w:r w:rsidR="00116300" w:rsidRPr="000C1777">
        <w:rPr>
          <w:rFonts w:ascii="Times New Roman" w:eastAsia="Times New Roman" w:hAnsi="Times New Roman" w:cs="Times New Roman"/>
          <w:bCs/>
          <w:i/>
          <w:kern w:val="36"/>
          <w:sz w:val="24"/>
          <w:szCs w:val="24"/>
          <w:lang w:eastAsia="fr-FR"/>
        </w:rPr>
        <w:t>EPI</w:t>
      </w:r>
      <w:r w:rsidR="00116300">
        <w:rPr>
          <w:rFonts w:ascii="Times New Roman" w:eastAsia="Times New Roman" w:hAnsi="Times New Roman" w:cs="Times New Roman"/>
          <w:bCs/>
          <w:kern w:val="36"/>
          <w:sz w:val="24"/>
          <w:szCs w:val="24"/>
          <w:lang w:eastAsia="fr-FR"/>
        </w:rPr>
        <w:t xml:space="preserve"> ne modifie</w:t>
      </w:r>
      <w:r w:rsidR="00ED3EF2">
        <w:rPr>
          <w:rFonts w:ascii="Times New Roman" w:eastAsia="Times New Roman" w:hAnsi="Times New Roman" w:cs="Times New Roman"/>
          <w:bCs/>
          <w:kern w:val="36"/>
          <w:sz w:val="24"/>
          <w:szCs w:val="24"/>
          <w:lang w:eastAsia="fr-FR"/>
        </w:rPr>
        <w:t xml:space="preserve"> pas les résultats des tableaux 6, 7 et 8. Ces deux nouvelles variables présentent des coefficients positifs et </w:t>
      </w:r>
      <w:r w:rsidR="0060210E">
        <w:rPr>
          <w:rFonts w:ascii="Times New Roman" w:eastAsia="Times New Roman" w:hAnsi="Times New Roman" w:cs="Times New Roman"/>
          <w:bCs/>
          <w:kern w:val="36"/>
          <w:sz w:val="24"/>
          <w:szCs w:val="24"/>
          <w:lang w:eastAsia="fr-FR"/>
        </w:rPr>
        <w:t>significatifs : le contexte institutionnel général (</w:t>
      </w:r>
      <w:r w:rsidR="00B00380">
        <w:rPr>
          <w:rFonts w:ascii="Times New Roman" w:eastAsia="Times New Roman" w:hAnsi="Times New Roman" w:cs="Times New Roman"/>
          <w:bCs/>
          <w:kern w:val="36"/>
          <w:sz w:val="24"/>
          <w:szCs w:val="24"/>
          <w:lang w:eastAsia="fr-FR"/>
        </w:rPr>
        <w:t xml:space="preserve">dont le </w:t>
      </w:r>
      <w:r w:rsidR="0060210E">
        <w:rPr>
          <w:rFonts w:ascii="Times New Roman" w:eastAsia="Times New Roman" w:hAnsi="Times New Roman" w:cs="Times New Roman"/>
          <w:bCs/>
          <w:kern w:val="36"/>
          <w:sz w:val="24"/>
          <w:szCs w:val="24"/>
          <w:lang w:eastAsia="fr-FR"/>
        </w:rPr>
        <w:t>degré d’application des lois</w:t>
      </w:r>
      <w:r w:rsidR="00B00380">
        <w:rPr>
          <w:rFonts w:ascii="Times New Roman" w:eastAsia="Times New Roman" w:hAnsi="Times New Roman" w:cs="Times New Roman"/>
          <w:bCs/>
          <w:kern w:val="36"/>
          <w:sz w:val="24"/>
          <w:szCs w:val="24"/>
          <w:lang w:eastAsia="fr-FR"/>
        </w:rPr>
        <w:t>, reflet de forces coercitives</w:t>
      </w:r>
      <w:r w:rsidR="0060210E">
        <w:rPr>
          <w:rFonts w:ascii="Times New Roman" w:eastAsia="Times New Roman" w:hAnsi="Times New Roman" w:cs="Times New Roman"/>
          <w:bCs/>
          <w:kern w:val="36"/>
          <w:sz w:val="24"/>
          <w:szCs w:val="24"/>
          <w:lang w:eastAsia="fr-FR"/>
        </w:rPr>
        <w:t xml:space="preserve">) et la performance environnementale du pays d’origine </w:t>
      </w:r>
      <w:r w:rsidR="00B00380">
        <w:rPr>
          <w:rFonts w:ascii="Times New Roman" w:eastAsia="Times New Roman" w:hAnsi="Times New Roman" w:cs="Times New Roman"/>
          <w:bCs/>
          <w:kern w:val="36"/>
          <w:sz w:val="24"/>
          <w:szCs w:val="24"/>
          <w:lang w:eastAsia="fr-FR"/>
        </w:rPr>
        <w:t>(conséquence</w:t>
      </w:r>
      <w:r w:rsidR="0060210E">
        <w:rPr>
          <w:rFonts w:ascii="Times New Roman" w:eastAsia="Times New Roman" w:hAnsi="Times New Roman" w:cs="Times New Roman"/>
          <w:bCs/>
          <w:kern w:val="36"/>
          <w:sz w:val="24"/>
          <w:szCs w:val="24"/>
          <w:lang w:eastAsia="fr-FR"/>
        </w:rPr>
        <w:t xml:space="preserve"> des politiques environnementales) orientent la stratégie de DVI extra-financière des banques.</w:t>
      </w:r>
    </w:p>
    <w:p w:rsidR="00F6008C" w:rsidRPr="0095508F" w:rsidRDefault="00B00380" w:rsidP="00CF31B3">
      <w:pPr>
        <w:spacing w:before="100" w:beforeAutospacing="1" w:after="100" w:afterAutospacing="1" w:line="480" w:lineRule="auto"/>
        <w:jc w:val="both"/>
        <w:outlineLvl w:val="0"/>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Les investisseurs institutionnels sont désormais attentifs aux risques climatiques, notamment au risque de régulation. Ils considèrent que ces risques sont déjà effectifs et impactent la valeur de leurs portefeuilles (</w:t>
      </w:r>
      <w:proofErr w:type="spellStart"/>
      <w:r>
        <w:rPr>
          <w:rFonts w:ascii="Times New Roman" w:eastAsia="Times New Roman" w:hAnsi="Times New Roman" w:cs="Times New Roman"/>
          <w:bCs/>
          <w:kern w:val="36"/>
          <w:sz w:val="24"/>
          <w:szCs w:val="24"/>
          <w:lang w:eastAsia="fr-FR"/>
        </w:rPr>
        <w:t>Krueger</w:t>
      </w:r>
      <w:proofErr w:type="spellEnd"/>
      <w:r>
        <w:rPr>
          <w:rFonts w:ascii="Times New Roman" w:eastAsia="Times New Roman" w:hAnsi="Times New Roman" w:cs="Times New Roman"/>
          <w:bCs/>
          <w:kern w:val="36"/>
          <w:sz w:val="24"/>
          <w:szCs w:val="24"/>
          <w:lang w:eastAsia="fr-FR"/>
        </w:rPr>
        <w:t xml:space="preserve"> et al. 2020)</w:t>
      </w:r>
      <w:r w:rsidR="00FF1478">
        <w:rPr>
          <w:rFonts w:ascii="Times New Roman" w:eastAsia="Times New Roman" w:hAnsi="Times New Roman" w:cs="Times New Roman"/>
          <w:bCs/>
          <w:kern w:val="36"/>
          <w:sz w:val="24"/>
          <w:szCs w:val="24"/>
          <w:lang w:eastAsia="fr-FR"/>
        </w:rPr>
        <w:t xml:space="preserve"> : les fonds ont donc tendance à inciter les firmes à communiquer sur leurs engagements environnementaux. </w:t>
      </w:r>
      <w:r>
        <w:rPr>
          <w:rFonts w:ascii="Times New Roman" w:eastAsia="Times New Roman" w:hAnsi="Times New Roman" w:cs="Times New Roman"/>
          <w:bCs/>
          <w:kern w:val="36"/>
          <w:sz w:val="24"/>
          <w:szCs w:val="24"/>
          <w:lang w:eastAsia="fr-FR"/>
        </w:rPr>
        <w:t>Pour contrôler l’</w:t>
      </w:r>
      <w:r w:rsidR="000C1777">
        <w:rPr>
          <w:rFonts w:ascii="Times New Roman" w:eastAsia="Times New Roman" w:hAnsi="Times New Roman" w:cs="Times New Roman"/>
          <w:bCs/>
          <w:kern w:val="36"/>
          <w:sz w:val="24"/>
          <w:szCs w:val="24"/>
          <w:lang w:eastAsia="fr-FR"/>
        </w:rPr>
        <w:t>influence</w:t>
      </w:r>
      <w:r>
        <w:rPr>
          <w:rFonts w:ascii="Times New Roman" w:eastAsia="Times New Roman" w:hAnsi="Times New Roman" w:cs="Times New Roman"/>
          <w:bCs/>
          <w:kern w:val="36"/>
          <w:sz w:val="24"/>
          <w:szCs w:val="24"/>
          <w:lang w:eastAsia="fr-FR"/>
        </w:rPr>
        <w:t xml:space="preserve"> de ces investisseurs sur la DVI des banques, l’actionnaire principal de chaque banque a été identifié fin 2019. </w:t>
      </w:r>
      <w:r w:rsidR="00FF1478">
        <w:rPr>
          <w:rFonts w:ascii="Times New Roman" w:eastAsia="Times New Roman" w:hAnsi="Times New Roman" w:cs="Times New Roman"/>
          <w:bCs/>
          <w:kern w:val="36"/>
          <w:sz w:val="24"/>
          <w:szCs w:val="24"/>
          <w:lang w:eastAsia="fr-FR"/>
        </w:rPr>
        <w:t>On distingue les investisseurs institutionnels traditionnels (13 banques : fonds d’investissement, gestionnaires d’acti</w:t>
      </w:r>
      <w:r w:rsidR="001238DD">
        <w:rPr>
          <w:rFonts w:ascii="Times New Roman" w:eastAsia="Times New Roman" w:hAnsi="Times New Roman" w:cs="Times New Roman"/>
          <w:bCs/>
          <w:kern w:val="36"/>
          <w:sz w:val="24"/>
          <w:szCs w:val="24"/>
          <w:lang w:eastAsia="fr-FR"/>
        </w:rPr>
        <w:t xml:space="preserve">fs sans activité bancaire comme </w:t>
      </w:r>
      <w:proofErr w:type="spellStart"/>
      <w:r w:rsidR="00FF1478">
        <w:rPr>
          <w:rFonts w:ascii="Times New Roman" w:eastAsia="Times New Roman" w:hAnsi="Times New Roman" w:cs="Times New Roman"/>
          <w:bCs/>
          <w:kern w:val="36"/>
          <w:sz w:val="24"/>
          <w:szCs w:val="24"/>
          <w:lang w:eastAsia="fr-FR"/>
        </w:rPr>
        <w:t>Vanguard</w:t>
      </w:r>
      <w:proofErr w:type="spellEnd"/>
      <w:r w:rsidR="00FF1478">
        <w:rPr>
          <w:rFonts w:ascii="Times New Roman" w:eastAsia="Times New Roman" w:hAnsi="Times New Roman" w:cs="Times New Roman"/>
          <w:bCs/>
          <w:kern w:val="36"/>
          <w:sz w:val="24"/>
          <w:szCs w:val="24"/>
          <w:lang w:eastAsia="fr-FR"/>
        </w:rPr>
        <w:t xml:space="preserve">, Berkshire Hathaway, Capital </w:t>
      </w:r>
      <w:proofErr w:type="spellStart"/>
      <w:r w:rsidR="00FF1478">
        <w:rPr>
          <w:rFonts w:ascii="Times New Roman" w:eastAsia="Times New Roman" w:hAnsi="Times New Roman" w:cs="Times New Roman"/>
          <w:bCs/>
          <w:kern w:val="36"/>
          <w:sz w:val="24"/>
          <w:szCs w:val="24"/>
          <w:lang w:eastAsia="fr-FR"/>
        </w:rPr>
        <w:t>research</w:t>
      </w:r>
      <w:proofErr w:type="spellEnd"/>
      <w:r w:rsidR="00FF1478">
        <w:rPr>
          <w:rFonts w:ascii="Times New Roman" w:eastAsia="Times New Roman" w:hAnsi="Times New Roman" w:cs="Times New Roman"/>
          <w:bCs/>
          <w:kern w:val="36"/>
          <w:sz w:val="24"/>
          <w:szCs w:val="24"/>
          <w:lang w:eastAsia="fr-FR"/>
        </w:rPr>
        <w:t xml:space="preserve"> and management…) et les investisseurs institutionnels bancaires (</w:t>
      </w:r>
      <w:r w:rsidR="00422FBA">
        <w:rPr>
          <w:rFonts w:ascii="Times New Roman" w:eastAsia="Times New Roman" w:hAnsi="Times New Roman" w:cs="Times New Roman"/>
          <w:bCs/>
          <w:kern w:val="36"/>
          <w:sz w:val="24"/>
          <w:szCs w:val="24"/>
          <w:lang w:eastAsia="fr-FR"/>
        </w:rPr>
        <w:t xml:space="preserve">7 banques : </w:t>
      </w:r>
      <w:r w:rsidR="00FF1478">
        <w:rPr>
          <w:rFonts w:ascii="Times New Roman" w:eastAsia="Times New Roman" w:hAnsi="Times New Roman" w:cs="Times New Roman"/>
          <w:bCs/>
          <w:kern w:val="36"/>
          <w:sz w:val="24"/>
          <w:szCs w:val="24"/>
          <w:lang w:eastAsia="fr-FR"/>
        </w:rPr>
        <w:t>Crédit Suisse, RBC, MUFG</w:t>
      </w:r>
      <w:r w:rsidR="00422FBA">
        <w:rPr>
          <w:rFonts w:ascii="Times New Roman" w:eastAsia="Times New Roman" w:hAnsi="Times New Roman" w:cs="Times New Roman"/>
          <w:bCs/>
          <w:kern w:val="36"/>
          <w:sz w:val="24"/>
          <w:szCs w:val="24"/>
          <w:lang w:eastAsia="fr-FR"/>
        </w:rPr>
        <w:t xml:space="preserve"> et SMBC sont les premiers actionnaires respectivement de Barclays, TD Bank, Bank of </w:t>
      </w:r>
      <w:proofErr w:type="spellStart"/>
      <w:r w:rsidR="00422FBA">
        <w:rPr>
          <w:rFonts w:ascii="Times New Roman" w:eastAsia="Times New Roman" w:hAnsi="Times New Roman" w:cs="Times New Roman"/>
          <w:bCs/>
          <w:kern w:val="36"/>
          <w:sz w:val="24"/>
          <w:szCs w:val="24"/>
          <w:lang w:eastAsia="fr-FR"/>
        </w:rPr>
        <w:t>Montreal</w:t>
      </w:r>
      <w:proofErr w:type="spellEnd"/>
      <w:r w:rsidR="00422FBA">
        <w:rPr>
          <w:rFonts w:ascii="Times New Roman" w:eastAsia="Times New Roman" w:hAnsi="Times New Roman" w:cs="Times New Roman"/>
          <w:bCs/>
          <w:kern w:val="36"/>
          <w:sz w:val="24"/>
          <w:szCs w:val="24"/>
          <w:lang w:eastAsia="fr-FR"/>
        </w:rPr>
        <w:t xml:space="preserve">, CIBC, </w:t>
      </w:r>
      <w:proofErr w:type="spellStart"/>
      <w:r w:rsidR="000C1777">
        <w:rPr>
          <w:rFonts w:ascii="Times New Roman" w:eastAsia="Times New Roman" w:hAnsi="Times New Roman" w:cs="Times New Roman"/>
          <w:bCs/>
          <w:kern w:val="36"/>
          <w:sz w:val="24"/>
          <w:szCs w:val="24"/>
          <w:lang w:eastAsia="fr-FR"/>
        </w:rPr>
        <w:t>Scotiabank</w:t>
      </w:r>
      <w:proofErr w:type="spellEnd"/>
      <w:r w:rsidR="000C1777">
        <w:rPr>
          <w:rFonts w:ascii="Times New Roman" w:eastAsia="Times New Roman" w:hAnsi="Times New Roman" w:cs="Times New Roman"/>
          <w:bCs/>
          <w:kern w:val="36"/>
          <w:sz w:val="24"/>
          <w:szCs w:val="24"/>
          <w:lang w:eastAsia="fr-FR"/>
        </w:rPr>
        <w:t xml:space="preserve">, </w:t>
      </w:r>
      <w:r w:rsidR="00422FBA">
        <w:rPr>
          <w:rFonts w:ascii="Times New Roman" w:eastAsia="Times New Roman" w:hAnsi="Times New Roman" w:cs="Times New Roman"/>
          <w:bCs/>
          <w:kern w:val="36"/>
          <w:sz w:val="24"/>
          <w:szCs w:val="24"/>
          <w:lang w:eastAsia="fr-FR"/>
        </w:rPr>
        <w:t xml:space="preserve">Morgan Stanley et </w:t>
      </w:r>
      <w:proofErr w:type="spellStart"/>
      <w:r w:rsidR="00422FBA">
        <w:rPr>
          <w:rFonts w:ascii="Times New Roman" w:eastAsia="Times New Roman" w:hAnsi="Times New Roman" w:cs="Times New Roman"/>
          <w:bCs/>
          <w:kern w:val="36"/>
          <w:sz w:val="24"/>
          <w:szCs w:val="24"/>
          <w:lang w:eastAsia="fr-FR"/>
        </w:rPr>
        <w:t>Mizuho</w:t>
      </w:r>
      <w:proofErr w:type="spellEnd"/>
      <w:r w:rsidR="00422FBA">
        <w:rPr>
          <w:rFonts w:ascii="Times New Roman" w:eastAsia="Times New Roman" w:hAnsi="Times New Roman" w:cs="Times New Roman"/>
          <w:bCs/>
          <w:kern w:val="36"/>
          <w:sz w:val="24"/>
          <w:szCs w:val="24"/>
          <w:lang w:eastAsia="fr-FR"/>
        </w:rPr>
        <w:t xml:space="preserve">). </w:t>
      </w:r>
      <w:r w:rsidR="007560D7">
        <w:rPr>
          <w:rFonts w:ascii="Times New Roman" w:eastAsia="Times New Roman" w:hAnsi="Times New Roman" w:cs="Times New Roman"/>
          <w:bCs/>
          <w:kern w:val="36"/>
          <w:sz w:val="24"/>
          <w:szCs w:val="24"/>
          <w:lang w:eastAsia="fr-FR"/>
        </w:rPr>
        <w:t xml:space="preserve">Pour le reste de l’échantillon, les banques sont contrôlées soit par un acteur public (7), soit par la banque elle-même (5) ou disposent d’une structure particulière (3), dont les coopératives et mutualistes. </w:t>
      </w:r>
      <w:r w:rsidR="00C36389">
        <w:rPr>
          <w:rFonts w:ascii="Times New Roman" w:eastAsia="Times New Roman" w:hAnsi="Times New Roman" w:cs="Times New Roman"/>
          <w:bCs/>
          <w:kern w:val="36"/>
          <w:sz w:val="24"/>
          <w:szCs w:val="24"/>
          <w:lang w:eastAsia="fr-FR"/>
        </w:rPr>
        <w:t>Deux variables dichotomiques codées 1 si l’actionnaire principal est un investisseur</w:t>
      </w:r>
      <w:r w:rsidR="001A56F4">
        <w:rPr>
          <w:rFonts w:ascii="Times New Roman" w:eastAsia="Times New Roman" w:hAnsi="Times New Roman" w:cs="Times New Roman"/>
          <w:bCs/>
          <w:kern w:val="36"/>
          <w:sz w:val="24"/>
          <w:szCs w:val="24"/>
          <w:lang w:eastAsia="fr-FR"/>
        </w:rPr>
        <w:t xml:space="preserve"> institutionnel </w:t>
      </w:r>
      <w:r w:rsidR="001A56F4" w:rsidRPr="001A56F4">
        <w:rPr>
          <w:rFonts w:ascii="Times New Roman" w:eastAsia="Times New Roman" w:hAnsi="Times New Roman" w:cs="Times New Roman"/>
          <w:bCs/>
          <w:i/>
          <w:kern w:val="36"/>
          <w:sz w:val="24"/>
          <w:szCs w:val="24"/>
          <w:lang w:eastAsia="fr-FR"/>
        </w:rPr>
        <w:t>INST1</w:t>
      </w:r>
      <w:r w:rsidR="001A56F4">
        <w:rPr>
          <w:rFonts w:ascii="Times New Roman" w:eastAsia="Times New Roman" w:hAnsi="Times New Roman" w:cs="Times New Roman"/>
          <w:bCs/>
          <w:kern w:val="36"/>
          <w:sz w:val="24"/>
          <w:szCs w:val="24"/>
          <w:lang w:eastAsia="fr-FR"/>
        </w:rPr>
        <w:t xml:space="preserve"> ou un investisseur institutionnel traditionnel </w:t>
      </w:r>
      <w:r w:rsidR="001A56F4" w:rsidRPr="001A56F4">
        <w:rPr>
          <w:rFonts w:ascii="Times New Roman" w:eastAsia="Times New Roman" w:hAnsi="Times New Roman" w:cs="Times New Roman"/>
          <w:bCs/>
          <w:i/>
          <w:kern w:val="36"/>
          <w:sz w:val="24"/>
          <w:szCs w:val="24"/>
          <w:lang w:eastAsia="fr-FR"/>
        </w:rPr>
        <w:t>INST2</w:t>
      </w:r>
      <w:r w:rsidR="001A56F4">
        <w:rPr>
          <w:rFonts w:ascii="Times New Roman" w:eastAsia="Times New Roman" w:hAnsi="Times New Roman" w:cs="Times New Roman"/>
          <w:bCs/>
          <w:kern w:val="36"/>
          <w:sz w:val="24"/>
          <w:szCs w:val="24"/>
          <w:lang w:eastAsia="fr-FR"/>
        </w:rPr>
        <w:t>, 0 sinon, ont été introduites dans les modèles de régression à la place des variables les moins significatives pour chaque Y (</w:t>
      </w:r>
      <w:r w:rsidR="001A56F4" w:rsidRPr="001A56F4">
        <w:rPr>
          <w:rFonts w:ascii="Times New Roman" w:eastAsia="Times New Roman" w:hAnsi="Times New Roman" w:cs="Times New Roman"/>
          <w:bCs/>
          <w:i/>
          <w:kern w:val="36"/>
          <w:sz w:val="24"/>
          <w:szCs w:val="24"/>
          <w:lang w:eastAsia="fr-FR"/>
        </w:rPr>
        <w:t>EUR</w:t>
      </w:r>
      <w:r w:rsidR="001A56F4">
        <w:rPr>
          <w:rFonts w:ascii="Times New Roman" w:eastAsia="Times New Roman" w:hAnsi="Times New Roman" w:cs="Times New Roman"/>
          <w:bCs/>
          <w:kern w:val="36"/>
          <w:sz w:val="24"/>
          <w:szCs w:val="24"/>
          <w:lang w:eastAsia="fr-FR"/>
        </w:rPr>
        <w:t xml:space="preserve"> pour </w:t>
      </w:r>
      <w:r w:rsidR="001A56F4" w:rsidRPr="001A56F4">
        <w:rPr>
          <w:rFonts w:ascii="Times New Roman" w:eastAsia="Times New Roman" w:hAnsi="Times New Roman" w:cs="Times New Roman"/>
          <w:bCs/>
          <w:i/>
          <w:kern w:val="36"/>
          <w:sz w:val="24"/>
          <w:szCs w:val="24"/>
          <w:lang w:eastAsia="fr-FR"/>
        </w:rPr>
        <w:t>CDP</w:t>
      </w:r>
      <w:r w:rsidR="001A56F4">
        <w:rPr>
          <w:rFonts w:ascii="Times New Roman" w:eastAsia="Times New Roman" w:hAnsi="Times New Roman" w:cs="Times New Roman"/>
          <w:bCs/>
          <w:kern w:val="36"/>
          <w:sz w:val="24"/>
          <w:szCs w:val="24"/>
          <w:lang w:eastAsia="fr-FR"/>
        </w:rPr>
        <w:t xml:space="preserve">, </w:t>
      </w:r>
      <w:r w:rsidR="001A56F4" w:rsidRPr="001A56F4">
        <w:rPr>
          <w:rFonts w:ascii="Times New Roman" w:eastAsia="Times New Roman" w:hAnsi="Times New Roman" w:cs="Times New Roman"/>
          <w:bCs/>
          <w:i/>
          <w:kern w:val="36"/>
          <w:sz w:val="24"/>
          <w:szCs w:val="24"/>
          <w:lang w:eastAsia="fr-FR"/>
        </w:rPr>
        <w:t>COT</w:t>
      </w:r>
      <w:r w:rsidR="001A56F4">
        <w:rPr>
          <w:rFonts w:ascii="Times New Roman" w:eastAsia="Times New Roman" w:hAnsi="Times New Roman" w:cs="Times New Roman"/>
          <w:bCs/>
          <w:kern w:val="36"/>
          <w:sz w:val="24"/>
          <w:szCs w:val="24"/>
          <w:lang w:eastAsia="fr-FR"/>
        </w:rPr>
        <w:t xml:space="preserve"> pour </w:t>
      </w:r>
      <w:r w:rsidR="001A56F4" w:rsidRPr="001A56F4">
        <w:rPr>
          <w:rFonts w:ascii="Times New Roman" w:eastAsia="Times New Roman" w:hAnsi="Times New Roman" w:cs="Times New Roman"/>
          <w:bCs/>
          <w:i/>
          <w:kern w:val="36"/>
          <w:sz w:val="24"/>
          <w:szCs w:val="24"/>
          <w:lang w:eastAsia="fr-FR"/>
        </w:rPr>
        <w:t>PIE</w:t>
      </w:r>
      <w:r w:rsidR="001A56F4">
        <w:rPr>
          <w:rFonts w:ascii="Times New Roman" w:eastAsia="Times New Roman" w:hAnsi="Times New Roman" w:cs="Times New Roman"/>
          <w:bCs/>
          <w:kern w:val="36"/>
          <w:sz w:val="24"/>
          <w:szCs w:val="24"/>
          <w:lang w:eastAsia="fr-FR"/>
        </w:rPr>
        <w:t xml:space="preserve"> et </w:t>
      </w:r>
      <w:r w:rsidR="001A56F4" w:rsidRPr="001A56F4">
        <w:rPr>
          <w:rFonts w:ascii="Times New Roman" w:eastAsia="Times New Roman" w:hAnsi="Times New Roman" w:cs="Times New Roman"/>
          <w:bCs/>
          <w:i/>
          <w:kern w:val="36"/>
          <w:sz w:val="24"/>
          <w:szCs w:val="24"/>
          <w:lang w:eastAsia="fr-FR"/>
        </w:rPr>
        <w:t>PIS</w:t>
      </w:r>
      <w:r w:rsidR="001A56F4">
        <w:rPr>
          <w:rFonts w:ascii="Times New Roman" w:eastAsia="Times New Roman" w:hAnsi="Times New Roman" w:cs="Times New Roman"/>
          <w:bCs/>
          <w:kern w:val="36"/>
          <w:sz w:val="24"/>
          <w:szCs w:val="24"/>
          <w:lang w:eastAsia="fr-FR"/>
        </w:rPr>
        <w:t>). Aucun impact n’est relevé sur la qualité de la DVI environnementale (</w:t>
      </w:r>
      <w:r w:rsidR="001A56F4" w:rsidRPr="001A56F4">
        <w:rPr>
          <w:rFonts w:ascii="Times New Roman" w:eastAsia="Times New Roman" w:hAnsi="Times New Roman" w:cs="Times New Roman"/>
          <w:bCs/>
          <w:i/>
          <w:kern w:val="36"/>
          <w:sz w:val="24"/>
          <w:szCs w:val="24"/>
          <w:lang w:eastAsia="fr-FR"/>
        </w:rPr>
        <w:t>CDP</w:t>
      </w:r>
      <w:r w:rsidR="001A56F4">
        <w:rPr>
          <w:rFonts w:ascii="Times New Roman" w:eastAsia="Times New Roman" w:hAnsi="Times New Roman" w:cs="Times New Roman"/>
          <w:bCs/>
          <w:kern w:val="36"/>
          <w:sz w:val="24"/>
          <w:szCs w:val="24"/>
          <w:lang w:eastAsia="fr-FR"/>
        </w:rPr>
        <w:t xml:space="preserve">) ; cependant, la variable </w:t>
      </w:r>
      <w:r w:rsidR="001A56F4" w:rsidRPr="000C1777">
        <w:rPr>
          <w:rFonts w:ascii="Times New Roman" w:eastAsia="Times New Roman" w:hAnsi="Times New Roman" w:cs="Times New Roman"/>
          <w:bCs/>
          <w:i/>
          <w:kern w:val="36"/>
          <w:sz w:val="24"/>
          <w:szCs w:val="24"/>
          <w:lang w:eastAsia="fr-FR"/>
        </w:rPr>
        <w:t>INST2</w:t>
      </w:r>
      <w:r w:rsidR="001A56F4">
        <w:rPr>
          <w:rFonts w:ascii="Times New Roman" w:eastAsia="Times New Roman" w:hAnsi="Times New Roman" w:cs="Times New Roman"/>
          <w:bCs/>
          <w:kern w:val="36"/>
          <w:sz w:val="24"/>
          <w:szCs w:val="24"/>
          <w:lang w:eastAsia="fr-FR"/>
        </w:rPr>
        <w:t xml:space="preserve"> et les deux </w:t>
      </w:r>
      <w:r w:rsidR="001A56F4">
        <w:rPr>
          <w:rFonts w:ascii="Times New Roman" w:eastAsia="Times New Roman" w:hAnsi="Times New Roman" w:cs="Times New Roman"/>
          <w:bCs/>
          <w:kern w:val="36"/>
          <w:sz w:val="24"/>
          <w:szCs w:val="24"/>
          <w:lang w:eastAsia="fr-FR"/>
        </w:rPr>
        <w:lastRenderedPageBreak/>
        <w:t xml:space="preserve">variables </w:t>
      </w:r>
      <w:r w:rsidR="001A56F4" w:rsidRPr="001A56F4">
        <w:rPr>
          <w:rFonts w:ascii="Times New Roman" w:eastAsia="Times New Roman" w:hAnsi="Times New Roman" w:cs="Times New Roman"/>
          <w:bCs/>
          <w:i/>
          <w:kern w:val="36"/>
          <w:sz w:val="24"/>
          <w:szCs w:val="24"/>
          <w:lang w:eastAsia="fr-FR"/>
        </w:rPr>
        <w:t>INST1</w:t>
      </w:r>
      <w:r w:rsidR="001A56F4">
        <w:rPr>
          <w:rFonts w:ascii="Times New Roman" w:eastAsia="Times New Roman" w:hAnsi="Times New Roman" w:cs="Times New Roman"/>
          <w:bCs/>
          <w:kern w:val="36"/>
          <w:sz w:val="24"/>
          <w:szCs w:val="24"/>
          <w:lang w:eastAsia="fr-FR"/>
        </w:rPr>
        <w:t xml:space="preserve"> et </w:t>
      </w:r>
      <w:r w:rsidR="001A56F4" w:rsidRPr="001A56F4">
        <w:rPr>
          <w:rFonts w:ascii="Times New Roman" w:eastAsia="Times New Roman" w:hAnsi="Times New Roman" w:cs="Times New Roman"/>
          <w:bCs/>
          <w:i/>
          <w:kern w:val="36"/>
          <w:sz w:val="24"/>
          <w:szCs w:val="24"/>
          <w:lang w:eastAsia="fr-FR"/>
        </w:rPr>
        <w:t>INST2</w:t>
      </w:r>
      <w:r w:rsidR="001A56F4">
        <w:rPr>
          <w:rFonts w:ascii="Times New Roman" w:eastAsia="Times New Roman" w:hAnsi="Times New Roman" w:cs="Times New Roman"/>
          <w:bCs/>
          <w:kern w:val="36"/>
          <w:sz w:val="24"/>
          <w:szCs w:val="24"/>
          <w:lang w:eastAsia="fr-FR"/>
        </w:rPr>
        <w:t xml:space="preserve"> ont une influence négative et significative respecti</w:t>
      </w:r>
      <w:r w:rsidR="000C1777">
        <w:rPr>
          <w:rFonts w:ascii="Times New Roman" w:eastAsia="Times New Roman" w:hAnsi="Times New Roman" w:cs="Times New Roman"/>
          <w:bCs/>
          <w:kern w:val="36"/>
          <w:sz w:val="24"/>
          <w:szCs w:val="24"/>
          <w:lang w:eastAsia="fr-FR"/>
        </w:rPr>
        <w:t xml:space="preserve">vement sur le volume </w:t>
      </w:r>
      <w:r w:rsidR="001A56F4">
        <w:rPr>
          <w:rFonts w:ascii="Times New Roman" w:eastAsia="Times New Roman" w:hAnsi="Times New Roman" w:cs="Times New Roman"/>
          <w:bCs/>
          <w:kern w:val="36"/>
          <w:sz w:val="24"/>
          <w:szCs w:val="24"/>
          <w:lang w:eastAsia="fr-FR"/>
        </w:rPr>
        <w:t>d’information environnementale (</w:t>
      </w:r>
      <w:r w:rsidR="001A56F4" w:rsidRPr="001A56F4">
        <w:rPr>
          <w:rFonts w:ascii="Times New Roman" w:eastAsia="Times New Roman" w:hAnsi="Times New Roman" w:cs="Times New Roman"/>
          <w:bCs/>
          <w:i/>
          <w:kern w:val="36"/>
          <w:sz w:val="24"/>
          <w:szCs w:val="24"/>
          <w:lang w:eastAsia="fr-FR"/>
        </w:rPr>
        <w:t>PIE</w:t>
      </w:r>
      <w:r w:rsidR="001A56F4">
        <w:rPr>
          <w:rFonts w:ascii="Times New Roman" w:eastAsia="Times New Roman" w:hAnsi="Times New Roman" w:cs="Times New Roman"/>
          <w:bCs/>
          <w:kern w:val="36"/>
          <w:sz w:val="24"/>
          <w:szCs w:val="24"/>
          <w:lang w:eastAsia="fr-FR"/>
        </w:rPr>
        <w:t>) et sociétale (</w:t>
      </w:r>
      <w:r w:rsidR="001A56F4" w:rsidRPr="001A56F4">
        <w:rPr>
          <w:rFonts w:ascii="Times New Roman" w:eastAsia="Times New Roman" w:hAnsi="Times New Roman" w:cs="Times New Roman"/>
          <w:bCs/>
          <w:i/>
          <w:kern w:val="36"/>
          <w:sz w:val="24"/>
          <w:szCs w:val="24"/>
          <w:lang w:eastAsia="fr-FR"/>
        </w:rPr>
        <w:t>PIS</w:t>
      </w:r>
      <w:r w:rsidR="001A56F4">
        <w:rPr>
          <w:rFonts w:ascii="Times New Roman" w:eastAsia="Times New Roman" w:hAnsi="Times New Roman" w:cs="Times New Roman"/>
          <w:bCs/>
          <w:kern w:val="36"/>
          <w:sz w:val="24"/>
          <w:szCs w:val="24"/>
          <w:lang w:eastAsia="fr-FR"/>
        </w:rPr>
        <w:t>). A chaque fois, l’introduc</w:t>
      </w:r>
      <w:r w:rsidR="001238DD">
        <w:rPr>
          <w:rFonts w:ascii="Times New Roman" w:eastAsia="Times New Roman" w:hAnsi="Times New Roman" w:cs="Times New Roman"/>
          <w:bCs/>
          <w:kern w:val="36"/>
          <w:sz w:val="24"/>
          <w:szCs w:val="24"/>
          <w:lang w:eastAsia="fr-FR"/>
        </w:rPr>
        <w:t>tion de ces variables améliore</w:t>
      </w:r>
      <w:r w:rsidR="001A56F4">
        <w:rPr>
          <w:rFonts w:ascii="Times New Roman" w:eastAsia="Times New Roman" w:hAnsi="Times New Roman" w:cs="Times New Roman"/>
          <w:bCs/>
          <w:kern w:val="36"/>
          <w:sz w:val="24"/>
          <w:szCs w:val="24"/>
          <w:lang w:eastAsia="fr-FR"/>
        </w:rPr>
        <w:t xml:space="preserve"> faiblement le R² ajusté des modèles. </w:t>
      </w:r>
      <w:r w:rsidR="000C1777">
        <w:rPr>
          <w:rFonts w:ascii="Times New Roman" w:eastAsia="Times New Roman" w:hAnsi="Times New Roman" w:cs="Times New Roman"/>
          <w:bCs/>
          <w:kern w:val="36"/>
          <w:sz w:val="24"/>
          <w:szCs w:val="24"/>
          <w:lang w:eastAsia="fr-FR"/>
        </w:rPr>
        <w:t>Ce résultat contraire à la relation attendue est à nuancer : hormis les banques publiques et coopératives et mutualistes, l</w:t>
      </w:r>
      <w:r w:rsidR="008960C5">
        <w:rPr>
          <w:rFonts w:ascii="Times New Roman" w:eastAsia="Times New Roman" w:hAnsi="Times New Roman" w:cs="Times New Roman"/>
          <w:bCs/>
          <w:kern w:val="36"/>
          <w:sz w:val="24"/>
          <w:szCs w:val="24"/>
          <w:lang w:eastAsia="fr-FR"/>
        </w:rPr>
        <w:t>es parts de capital des premiers actionnaires sont faibles et très homogènes. Les plus grands fonds d’investissement et gestionnaires d’actifs sont en outre présents dans la quasi-totalité des banques de l’échantillon (</w:t>
      </w:r>
      <w:proofErr w:type="spellStart"/>
      <w:r w:rsidR="008960C5">
        <w:rPr>
          <w:rFonts w:ascii="Times New Roman" w:eastAsia="Times New Roman" w:hAnsi="Times New Roman" w:cs="Times New Roman"/>
          <w:bCs/>
          <w:kern w:val="36"/>
          <w:sz w:val="24"/>
          <w:szCs w:val="24"/>
          <w:lang w:eastAsia="fr-FR"/>
        </w:rPr>
        <w:t>Vanguard</w:t>
      </w:r>
      <w:proofErr w:type="spellEnd"/>
      <w:r w:rsidR="008960C5">
        <w:rPr>
          <w:rFonts w:ascii="Times New Roman" w:eastAsia="Times New Roman" w:hAnsi="Times New Roman" w:cs="Times New Roman"/>
          <w:bCs/>
          <w:kern w:val="36"/>
          <w:sz w:val="24"/>
          <w:szCs w:val="24"/>
          <w:lang w:eastAsia="fr-FR"/>
        </w:rPr>
        <w:t xml:space="preserve"> dans 80% (28) des banques avec une part de capital comprise entre 2 et 8% ; </w:t>
      </w:r>
      <w:proofErr w:type="spellStart"/>
      <w:r w:rsidR="008960C5">
        <w:rPr>
          <w:rFonts w:ascii="Times New Roman" w:eastAsia="Times New Roman" w:hAnsi="Times New Roman" w:cs="Times New Roman"/>
          <w:bCs/>
          <w:kern w:val="36"/>
          <w:sz w:val="24"/>
          <w:szCs w:val="24"/>
          <w:lang w:eastAsia="fr-FR"/>
        </w:rPr>
        <w:t>Blackrock</w:t>
      </w:r>
      <w:proofErr w:type="spellEnd"/>
      <w:r w:rsidR="008960C5">
        <w:rPr>
          <w:rFonts w:ascii="Times New Roman" w:eastAsia="Times New Roman" w:hAnsi="Times New Roman" w:cs="Times New Roman"/>
          <w:bCs/>
          <w:kern w:val="36"/>
          <w:sz w:val="24"/>
          <w:szCs w:val="24"/>
          <w:lang w:eastAsia="fr-FR"/>
        </w:rPr>
        <w:t xml:space="preserve"> dans 69% (24) et une part comprise entre 1,5 et 5%). </w:t>
      </w:r>
    </w:p>
    <w:p w:rsidR="00EB3251" w:rsidRPr="00255584" w:rsidRDefault="00255584" w:rsidP="00EB3251">
      <w:pPr>
        <w:spacing w:before="100" w:beforeAutospacing="1" w:after="100" w:afterAutospacing="1" w:line="480" w:lineRule="auto"/>
        <w:jc w:val="both"/>
        <w:outlineLvl w:val="0"/>
        <w:rPr>
          <w:rFonts w:ascii="Times New Roman" w:eastAsia="Times New Roman" w:hAnsi="Times New Roman" w:cs="Times New Roman"/>
          <w:b/>
          <w:bCs/>
          <w:kern w:val="36"/>
          <w:sz w:val="28"/>
          <w:szCs w:val="28"/>
          <w:lang w:eastAsia="fr-FR"/>
        </w:rPr>
      </w:pPr>
      <w:r w:rsidRPr="00255584">
        <w:rPr>
          <w:rFonts w:ascii="Times New Roman" w:eastAsia="Times New Roman" w:hAnsi="Times New Roman" w:cs="Times New Roman"/>
          <w:b/>
          <w:bCs/>
          <w:kern w:val="36"/>
          <w:sz w:val="28"/>
          <w:szCs w:val="28"/>
          <w:lang w:eastAsia="fr-FR"/>
        </w:rPr>
        <w:t>5 Discussion et conclusion</w:t>
      </w:r>
    </w:p>
    <w:p w:rsidR="00EB3251" w:rsidRDefault="00EB3251" w:rsidP="00EB3251">
      <w:pPr>
        <w:spacing w:line="480" w:lineRule="auto"/>
        <w:jc w:val="both"/>
        <w:rPr>
          <w:rFonts w:ascii="Times New Roman" w:hAnsi="Times New Roman" w:cs="Times New Roman"/>
          <w:sz w:val="24"/>
          <w:szCs w:val="24"/>
        </w:rPr>
      </w:pPr>
      <w:r>
        <w:rPr>
          <w:rFonts w:ascii="Times New Roman" w:hAnsi="Times New Roman" w:cs="Times New Roman"/>
          <w:sz w:val="24"/>
          <w:szCs w:val="24"/>
        </w:rPr>
        <w:t>Cet article apporte un éclairage nouveau su</w:t>
      </w:r>
      <w:r w:rsidR="008D48CD">
        <w:rPr>
          <w:rFonts w:ascii="Times New Roman" w:hAnsi="Times New Roman" w:cs="Times New Roman"/>
          <w:sz w:val="24"/>
          <w:szCs w:val="24"/>
        </w:rPr>
        <w:t>r les déterminants de la DVI extra</w:t>
      </w:r>
      <w:r>
        <w:rPr>
          <w:rFonts w:ascii="Times New Roman" w:hAnsi="Times New Roman" w:cs="Times New Roman"/>
          <w:sz w:val="24"/>
          <w:szCs w:val="24"/>
        </w:rPr>
        <w:t>-financière en se focalisant sur un secteur d’activité original très peu considéré dans la littérature existante, le secteur bancaire. Pourtant ces organisations offrent un terrain d’étude particulièrement pertinent pour analyser la relation performance-DVI sociétale et environneme</w:t>
      </w:r>
      <w:r w:rsidR="00A5301D">
        <w:rPr>
          <w:rFonts w:ascii="Times New Roman" w:hAnsi="Times New Roman" w:cs="Times New Roman"/>
          <w:sz w:val="24"/>
          <w:szCs w:val="24"/>
        </w:rPr>
        <w:t>ntale.</w:t>
      </w:r>
      <w:r>
        <w:rPr>
          <w:rFonts w:ascii="Times New Roman" w:hAnsi="Times New Roman" w:cs="Times New Roman"/>
          <w:sz w:val="24"/>
          <w:szCs w:val="24"/>
        </w:rPr>
        <w:t xml:space="preserve"> Les conclusions des tests confirment l’hypothèse de légitimité et l’existence d’une relation négative entre les deux phénomènes : les banques renforcent leur communication sociétale et environnementale lorsqu’elles augmentent leurs fin</w:t>
      </w:r>
      <w:r w:rsidR="000C2FAB">
        <w:rPr>
          <w:rFonts w:ascii="Times New Roman" w:hAnsi="Times New Roman" w:cs="Times New Roman"/>
          <w:sz w:val="24"/>
          <w:szCs w:val="24"/>
        </w:rPr>
        <w:t>ancements aux filières fossiles, principalement en volume.</w:t>
      </w:r>
      <w:r>
        <w:rPr>
          <w:rFonts w:ascii="Times New Roman" w:hAnsi="Times New Roman" w:cs="Times New Roman"/>
          <w:sz w:val="24"/>
          <w:szCs w:val="24"/>
        </w:rPr>
        <w:t xml:space="preserve"> L’étude de cette relation sur un échantillon de banques internationales est inédite. L’intensité de la relation semble dépendre de deux paramètres, déjà identifiés par la littérature : la taille de l’entité et le contexte national et régional d’origine de la banque. A l’inverse, d’autres facteurs explicati</w:t>
      </w:r>
      <w:r w:rsidR="008D48CD">
        <w:rPr>
          <w:rFonts w:ascii="Times New Roman" w:hAnsi="Times New Roman" w:cs="Times New Roman"/>
          <w:sz w:val="24"/>
          <w:szCs w:val="24"/>
        </w:rPr>
        <w:t>fs classiques</w:t>
      </w:r>
      <w:r>
        <w:rPr>
          <w:rFonts w:ascii="Times New Roman" w:hAnsi="Times New Roman" w:cs="Times New Roman"/>
          <w:sz w:val="24"/>
          <w:szCs w:val="24"/>
        </w:rPr>
        <w:t xml:space="preserve"> </w:t>
      </w:r>
      <w:r w:rsidR="008B7E76">
        <w:rPr>
          <w:rFonts w:ascii="Times New Roman" w:hAnsi="Times New Roman" w:cs="Times New Roman"/>
          <w:sz w:val="24"/>
          <w:szCs w:val="24"/>
        </w:rPr>
        <w:t xml:space="preserve">de </w:t>
      </w:r>
      <w:r>
        <w:rPr>
          <w:rFonts w:ascii="Times New Roman" w:hAnsi="Times New Roman" w:cs="Times New Roman"/>
          <w:sz w:val="24"/>
          <w:szCs w:val="24"/>
        </w:rPr>
        <w:t xml:space="preserve">la DVI </w:t>
      </w:r>
      <w:r w:rsidR="008B7E76">
        <w:rPr>
          <w:rFonts w:ascii="Times New Roman" w:hAnsi="Times New Roman" w:cs="Times New Roman"/>
          <w:sz w:val="24"/>
          <w:szCs w:val="24"/>
        </w:rPr>
        <w:t xml:space="preserve">présentent </w:t>
      </w:r>
      <w:r w:rsidR="008D48CD">
        <w:rPr>
          <w:rFonts w:ascii="Times New Roman" w:hAnsi="Times New Roman" w:cs="Times New Roman"/>
          <w:sz w:val="24"/>
          <w:szCs w:val="24"/>
        </w:rPr>
        <w:t>des coefficients instables et inattendus</w:t>
      </w:r>
      <w:r>
        <w:rPr>
          <w:rFonts w:ascii="Times New Roman" w:hAnsi="Times New Roman" w:cs="Times New Roman"/>
          <w:sz w:val="24"/>
          <w:szCs w:val="24"/>
        </w:rPr>
        <w:t xml:space="preserve"> : la rentabilité et la cotation multiple. Ces résultats résistent aux différentes spécifications alternatives proposées. </w:t>
      </w:r>
    </w:p>
    <w:p w:rsidR="00EB3251" w:rsidRDefault="00EB3251" w:rsidP="0087624B">
      <w:pPr>
        <w:spacing w:after="120" w:line="300" w:lineRule="exact"/>
        <w:jc w:val="both"/>
        <w:rPr>
          <w:rFonts w:ascii="Times New Roman" w:hAnsi="Times New Roman" w:cs="Times New Roman"/>
          <w:sz w:val="24"/>
          <w:szCs w:val="24"/>
        </w:rPr>
      </w:pPr>
      <w:r>
        <w:rPr>
          <w:rFonts w:ascii="Times New Roman" w:hAnsi="Times New Roman" w:cs="Times New Roman"/>
          <w:sz w:val="24"/>
          <w:szCs w:val="24"/>
        </w:rPr>
        <w:t xml:space="preserve">Des limites apparaissent toutefois : un échantillon international de taille restreinte n’intégrant pas de banques de pays en développement, une mesure objective mais partielle de la performance environnementale issue de données secondaires, une prise en compte sommaire </w:t>
      </w:r>
      <w:r>
        <w:rPr>
          <w:rFonts w:ascii="Times New Roman" w:hAnsi="Times New Roman" w:cs="Times New Roman"/>
          <w:sz w:val="24"/>
          <w:szCs w:val="24"/>
        </w:rPr>
        <w:lastRenderedPageBreak/>
        <w:t>d</w:t>
      </w:r>
      <w:r w:rsidR="00755B4D">
        <w:rPr>
          <w:rFonts w:ascii="Times New Roman" w:hAnsi="Times New Roman" w:cs="Times New Roman"/>
          <w:sz w:val="24"/>
          <w:szCs w:val="24"/>
        </w:rPr>
        <w:t xml:space="preserve">es contextes institutionnels et </w:t>
      </w:r>
      <w:r>
        <w:rPr>
          <w:rFonts w:ascii="Times New Roman" w:hAnsi="Times New Roman" w:cs="Times New Roman"/>
          <w:sz w:val="24"/>
          <w:szCs w:val="24"/>
        </w:rPr>
        <w:t>des structures de propriété</w:t>
      </w:r>
      <w:r w:rsidR="001238DD">
        <w:rPr>
          <w:rFonts w:ascii="Times New Roman" w:hAnsi="Times New Roman" w:cs="Times New Roman"/>
          <w:sz w:val="24"/>
          <w:szCs w:val="24"/>
        </w:rPr>
        <w:t>,</w:t>
      </w:r>
      <w:r>
        <w:rPr>
          <w:rFonts w:ascii="Times New Roman" w:hAnsi="Times New Roman" w:cs="Times New Roman"/>
          <w:sz w:val="24"/>
          <w:szCs w:val="24"/>
        </w:rPr>
        <w:t xml:space="preserve"> et l’absence de variables reflétant les mécanismes de gouvernance interne. </w:t>
      </w:r>
      <w:r w:rsidR="00A5301D">
        <w:rPr>
          <w:rFonts w:ascii="Times New Roman" w:hAnsi="Times New Roman" w:cs="Times New Roman"/>
          <w:sz w:val="24"/>
          <w:szCs w:val="24"/>
        </w:rPr>
        <w:t>Par ailleurs, l</w:t>
      </w:r>
      <w:r w:rsidR="0054738A">
        <w:rPr>
          <w:rFonts w:ascii="Times New Roman" w:hAnsi="Times New Roman" w:cs="Times New Roman"/>
          <w:sz w:val="24"/>
          <w:szCs w:val="24"/>
        </w:rPr>
        <w:t xml:space="preserve">a relation performance-DVI est particulièrement marquée par un phénomène de circularité : l’évaluation de la performance dépend étroitement de l’information divulguée. </w:t>
      </w:r>
      <w:r w:rsidR="00755B4D">
        <w:rPr>
          <w:rFonts w:ascii="Times New Roman" w:hAnsi="Times New Roman" w:cs="Times New Roman"/>
          <w:sz w:val="24"/>
          <w:szCs w:val="24"/>
        </w:rPr>
        <w:t>Enfin, les rapports CDP et GRI ne sont pas analysés en détail et les mesures de DVI sont plutôt des indicateurs de conformité aux standards : pour le rapport GRI</w:t>
      </w:r>
      <w:r w:rsidR="0096393D">
        <w:rPr>
          <w:rFonts w:ascii="Times New Roman" w:hAnsi="Times New Roman" w:cs="Times New Roman"/>
          <w:sz w:val="24"/>
          <w:szCs w:val="24"/>
        </w:rPr>
        <w:t>, les dimensions sociétale et environnementale</w:t>
      </w:r>
      <w:r w:rsidR="00755B4D">
        <w:rPr>
          <w:rFonts w:ascii="Times New Roman" w:hAnsi="Times New Roman" w:cs="Times New Roman"/>
          <w:sz w:val="24"/>
          <w:szCs w:val="24"/>
        </w:rPr>
        <w:t xml:space="preserve"> ne sont pas distinguées.</w:t>
      </w:r>
    </w:p>
    <w:p w:rsidR="0060210E" w:rsidRDefault="0060210E" w:rsidP="0087624B">
      <w:pPr>
        <w:spacing w:after="120" w:line="300" w:lineRule="exact"/>
        <w:jc w:val="both"/>
        <w:rPr>
          <w:rFonts w:ascii="Times New Roman" w:hAnsi="Times New Roman" w:cs="Times New Roman"/>
          <w:sz w:val="24"/>
          <w:szCs w:val="24"/>
        </w:rPr>
      </w:pPr>
      <w:r>
        <w:rPr>
          <w:rFonts w:ascii="Times New Roman" w:hAnsi="Times New Roman" w:cs="Times New Roman"/>
          <w:sz w:val="24"/>
          <w:szCs w:val="24"/>
        </w:rPr>
        <w:t>…..</w:t>
      </w:r>
    </w:p>
    <w:p w:rsidR="00EB3251" w:rsidRDefault="00201E07" w:rsidP="00EB32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L’originalité de traiter la notion de performance environnementale via les financements fossiles et donc les émissions de scope 3 des banques ne doit pas occulter la complexité de la mesure d’une performance globale. Celle-ci </w:t>
      </w:r>
      <w:r w:rsidR="00EB3251">
        <w:rPr>
          <w:rFonts w:ascii="Times New Roman" w:hAnsi="Times New Roman" w:cs="Times New Roman"/>
          <w:sz w:val="24"/>
          <w:szCs w:val="24"/>
        </w:rPr>
        <w:t>d</w:t>
      </w:r>
      <w:r>
        <w:rPr>
          <w:rFonts w:ascii="Times New Roman" w:hAnsi="Times New Roman" w:cs="Times New Roman"/>
          <w:sz w:val="24"/>
          <w:szCs w:val="24"/>
        </w:rPr>
        <w:t>evrait</w:t>
      </w:r>
      <w:r w:rsidR="00EB3251">
        <w:rPr>
          <w:rFonts w:ascii="Times New Roman" w:hAnsi="Times New Roman" w:cs="Times New Roman"/>
          <w:sz w:val="24"/>
          <w:szCs w:val="24"/>
        </w:rPr>
        <w:t xml:space="preserve"> rendre compte de l’étendue des activités des groupes bancaires : les activités de détail aux particuliers (notamment l’orientation des crédits à la consommation et la nature des produits d’épargne proposés), les services aux entreprises avec la prise en compte des empreintes environnementales sectorielles (dichotomie secteurs « bruns » / « verts »), le financement des Etats, les investissements et la gestion d’actifs. Le défi de la mesure e</w:t>
      </w:r>
      <w:r w:rsidR="001238DD">
        <w:rPr>
          <w:rFonts w:ascii="Times New Roman" w:hAnsi="Times New Roman" w:cs="Times New Roman"/>
          <w:sz w:val="24"/>
          <w:szCs w:val="24"/>
        </w:rPr>
        <w:t>st complexe : Carbone 4 et le W</w:t>
      </w:r>
      <w:r w:rsidR="001238DD" w:rsidRPr="001238DD">
        <w:rPr>
          <w:rFonts w:ascii="Times New Roman" w:hAnsi="Times New Roman" w:cs="Times New Roman"/>
          <w:i/>
          <w:sz w:val="24"/>
          <w:szCs w:val="24"/>
        </w:rPr>
        <w:t xml:space="preserve">orld </w:t>
      </w:r>
      <w:proofErr w:type="spellStart"/>
      <w:r w:rsidR="001238DD" w:rsidRPr="001238DD">
        <w:rPr>
          <w:rFonts w:ascii="Times New Roman" w:hAnsi="Times New Roman" w:cs="Times New Roman"/>
          <w:i/>
          <w:sz w:val="24"/>
          <w:szCs w:val="24"/>
        </w:rPr>
        <w:t>Resources</w:t>
      </w:r>
      <w:proofErr w:type="spellEnd"/>
      <w:r w:rsidR="001238DD" w:rsidRPr="001238DD">
        <w:rPr>
          <w:rFonts w:ascii="Times New Roman" w:hAnsi="Times New Roman" w:cs="Times New Roman"/>
          <w:i/>
          <w:sz w:val="24"/>
          <w:szCs w:val="24"/>
        </w:rPr>
        <w:t xml:space="preserve"> Institute</w:t>
      </w:r>
      <w:r w:rsidR="00EB3251" w:rsidRPr="001238DD">
        <w:rPr>
          <w:rFonts w:ascii="Times New Roman" w:hAnsi="Times New Roman" w:cs="Times New Roman"/>
          <w:i/>
          <w:sz w:val="24"/>
          <w:szCs w:val="24"/>
        </w:rPr>
        <w:t xml:space="preserve"> </w:t>
      </w:r>
      <w:r w:rsidR="00EB3251">
        <w:rPr>
          <w:rFonts w:ascii="Times New Roman" w:hAnsi="Times New Roman" w:cs="Times New Roman"/>
          <w:sz w:val="24"/>
          <w:szCs w:val="24"/>
        </w:rPr>
        <w:t>(UNEP-FI) proposent des méthodologies de calcul pertinentes mais difficiles à déployer</w:t>
      </w:r>
      <w:r w:rsidR="00EB3251">
        <w:rPr>
          <w:rStyle w:val="Appelnotedebasdep"/>
          <w:rFonts w:ascii="Times New Roman" w:hAnsi="Times New Roman" w:cs="Times New Roman"/>
          <w:sz w:val="24"/>
          <w:szCs w:val="24"/>
        </w:rPr>
        <w:footnoteReference w:id="17"/>
      </w:r>
      <w:r w:rsidR="00EB3251">
        <w:rPr>
          <w:rFonts w:ascii="Times New Roman" w:hAnsi="Times New Roman" w:cs="Times New Roman"/>
          <w:sz w:val="24"/>
          <w:szCs w:val="24"/>
        </w:rPr>
        <w:t xml:space="preserve">. Au-delà de la comptabilité des émissions de GES (Protocole de Kyoto) et des classifications sectorielles (taxonomie </w:t>
      </w:r>
      <w:r w:rsidR="001238DD">
        <w:rPr>
          <w:rFonts w:ascii="Times New Roman" w:hAnsi="Times New Roman" w:cs="Times New Roman"/>
          <w:sz w:val="24"/>
          <w:szCs w:val="24"/>
        </w:rPr>
        <w:t xml:space="preserve">de l’Union Européenne, projet </w:t>
      </w:r>
      <w:r w:rsidR="00EB3251" w:rsidRPr="001238DD">
        <w:rPr>
          <w:rFonts w:ascii="Times New Roman" w:hAnsi="Times New Roman" w:cs="Times New Roman"/>
          <w:i/>
          <w:sz w:val="24"/>
          <w:szCs w:val="24"/>
        </w:rPr>
        <w:t xml:space="preserve">Science </w:t>
      </w:r>
      <w:proofErr w:type="spellStart"/>
      <w:r w:rsidR="00EB3251" w:rsidRPr="001238DD">
        <w:rPr>
          <w:rFonts w:ascii="Times New Roman" w:hAnsi="Times New Roman" w:cs="Times New Roman"/>
          <w:i/>
          <w:sz w:val="24"/>
          <w:szCs w:val="24"/>
        </w:rPr>
        <w:t>Based</w:t>
      </w:r>
      <w:proofErr w:type="spellEnd"/>
      <w:r w:rsidR="00EB3251" w:rsidRPr="001238DD">
        <w:rPr>
          <w:rFonts w:ascii="Times New Roman" w:hAnsi="Times New Roman" w:cs="Times New Roman"/>
          <w:i/>
          <w:sz w:val="24"/>
          <w:szCs w:val="24"/>
        </w:rPr>
        <w:t xml:space="preserve"> </w:t>
      </w:r>
      <w:proofErr w:type="spellStart"/>
      <w:r w:rsidR="00EB3251" w:rsidRPr="001238DD">
        <w:rPr>
          <w:rFonts w:ascii="Times New Roman" w:hAnsi="Times New Roman" w:cs="Times New Roman"/>
          <w:i/>
          <w:sz w:val="24"/>
          <w:szCs w:val="24"/>
        </w:rPr>
        <w:t>Targets</w:t>
      </w:r>
      <w:proofErr w:type="spellEnd"/>
      <w:r w:rsidR="00EB3251">
        <w:rPr>
          <w:rFonts w:ascii="Times New Roman" w:hAnsi="Times New Roman" w:cs="Times New Roman"/>
          <w:sz w:val="24"/>
          <w:szCs w:val="24"/>
        </w:rPr>
        <w:t>), de nouvelles notions apparaissent pour préciser le concept de performance environnementale des banques : les émissions nettes (différence entre émissions « induites » et émissions « évitées »), la prise en compte des performances environnementales des entreprises financées (niveau de granularité plus fin que le secteur), l’intégration du risque climatique dans l’évaluation des portefeuilles (dé</w:t>
      </w:r>
      <w:r w:rsidR="001238DD">
        <w:rPr>
          <w:rFonts w:ascii="Times New Roman" w:hAnsi="Times New Roman" w:cs="Times New Roman"/>
          <w:sz w:val="24"/>
          <w:szCs w:val="24"/>
        </w:rPr>
        <w:t xml:space="preserve">préciation des actifs détenus), </w:t>
      </w:r>
      <w:r w:rsidR="00EB3251">
        <w:rPr>
          <w:rFonts w:ascii="Times New Roman" w:hAnsi="Times New Roman" w:cs="Times New Roman"/>
          <w:sz w:val="24"/>
          <w:szCs w:val="24"/>
        </w:rPr>
        <w:t>les stratégies d’exclusion et de sorti</w:t>
      </w:r>
      <w:r w:rsidR="001238DD">
        <w:rPr>
          <w:rFonts w:ascii="Times New Roman" w:hAnsi="Times New Roman" w:cs="Times New Roman"/>
          <w:sz w:val="24"/>
          <w:szCs w:val="24"/>
        </w:rPr>
        <w:t xml:space="preserve">e de certains secteurs (outil </w:t>
      </w:r>
      <w:r w:rsidR="001238DD" w:rsidRPr="001238DD">
        <w:rPr>
          <w:rFonts w:ascii="Times New Roman" w:hAnsi="Times New Roman" w:cs="Times New Roman"/>
          <w:i/>
          <w:sz w:val="24"/>
          <w:szCs w:val="24"/>
        </w:rPr>
        <w:t xml:space="preserve">Coal Policy </w:t>
      </w:r>
      <w:proofErr w:type="spellStart"/>
      <w:r w:rsidR="001238DD" w:rsidRPr="001238DD">
        <w:rPr>
          <w:rFonts w:ascii="Times New Roman" w:hAnsi="Times New Roman" w:cs="Times New Roman"/>
          <w:i/>
          <w:sz w:val="24"/>
          <w:szCs w:val="24"/>
        </w:rPr>
        <w:t>Tool</w:t>
      </w:r>
      <w:proofErr w:type="spellEnd"/>
      <w:r w:rsidR="00EB3251">
        <w:rPr>
          <w:rFonts w:ascii="Times New Roman" w:hAnsi="Times New Roman" w:cs="Times New Roman"/>
          <w:sz w:val="24"/>
          <w:szCs w:val="24"/>
        </w:rPr>
        <w:t xml:space="preserve"> de </w:t>
      </w:r>
      <w:proofErr w:type="spellStart"/>
      <w:r w:rsidR="00EB3251" w:rsidRPr="001238DD">
        <w:rPr>
          <w:rFonts w:ascii="Times New Roman" w:hAnsi="Times New Roman" w:cs="Times New Roman"/>
          <w:i/>
          <w:sz w:val="24"/>
          <w:szCs w:val="24"/>
        </w:rPr>
        <w:t>Reclaim</w:t>
      </w:r>
      <w:proofErr w:type="spellEnd"/>
      <w:r w:rsidR="00EB3251" w:rsidRPr="001238DD">
        <w:rPr>
          <w:rFonts w:ascii="Times New Roman" w:hAnsi="Times New Roman" w:cs="Times New Roman"/>
          <w:i/>
          <w:sz w:val="24"/>
          <w:szCs w:val="24"/>
        </w:rPr>
        <w:t xml:space="preserve"> Finance</w:t>
      </w:r>
      <w:r w:rsidR="008B7E76">
        <w:rPr>
          <w:rFonts w:ascii="Times New Roman" w:hAnsi="Times New Roman" w:cs="Times New Roman"/>
          <w:sz w:val="24"/>
          <w:szCs w:val="24"/>
        </w:rPr>
        <w:t xml:space="preserve"> pour le charbon</w:t>
      </w:r>
      <w:r w:rsidR="008367B4">
        <w:rPr>
          <w:rFonts w:ascii="Times New Roman" w:hAnsi="Times New Roman" w:cs="Times New Roman"/>
          <w:sz w:val="24"/>
          <w:szCs w:val="24"/>
        </w:rPr>
        <w:t>), la géographie des projets internationaux fina</w:t>
      </w:r>
      <w:r w:rsidR="001238DD">
        <w:rPr>
          <w:rFonts w:ascii="Times New Roman" w:hAnsi="Times New Roman" w:cs="Times New Roman"/>
          <w:sz w:val="24"/>
          <w:szCs w:val="24"/>
        </w:rPr>
        <w:t>ncés</w:t>
      </w:r>
      <w:r w:rsidR="008367B4">
        <w:rPr>
          <w:rFonts w:ascii="Times New Roman" w:hAnsi="Times New Roman" w:cs="Times New Roman"/>
          <w:sz w:val="24"/>
          <w:szCs w:val="24"/>
        </w:rPr>
        <w:t xml:space="preserve"> et la notion de pool bancaire, et enfin la prise en compte des impacts sur d’autres dimensions </w:t>
      </w:r>
      <w:r w:rsidR="008367B4">
        <w:rPr>
          <w:rFonts w:ascii="Times New Roman" w:hAnsi="Times New Roman" w:cs="Times New Roman"/>
          <w:sz w:val="24"/>
          <w:szCs w:val="24"/>
        </w:rPr>
        <w:lastRenderedPageBreak/>
        <w:t>environnementales (biodiversité, déchets, eau…)</w:t>
      </w:r>
      <w:r w:rsidR="00EB3251">
        <w:rPr>
          <w:rFonts w:ascii="Times New Roman" w:hAnsi="Times New Roman" w:cs="Times New Roman"/>
          <w:sz w:val="24"/>
          <w:szCs w:val="24"/>
        </w:rPr>
        <w:t xml:space="preserve">. Malgré ces avancées, les questions de consolidation, de suivi et de contrôle des indicateurs de performance demeurent ouvertes. </w:t>
      </w:r>
      <w:r w:rsidR="007B6DD2">
        <w:rPr>
          <w:rFonts w:ascii="Times New Roman" w:hAnsi="Times New Roman" w:cs="Times New Roman"/>
          <w:sz w:val="24"/>
          <w:szCs w:val="24"/>
        </w:rPr>
        <w:t>Des avancées réglementaires récentes soulignent le rôle crucial que les organismes régulateurs peuvent jouer sur la standardisation des informations extra-financières. En 2021, la Fondation IFRS prévoit l’installation d’un conseil dédié aux standards de soutenabilité qui s’appuiera sur les cadres existants du TFCD, du CDP, du GRI, du CDSB (</w:t>
      </w:r>
      <w:proofErr w:type="spellStart"/>
      <w:r w:rsidR="007B6DD2" w:rsidRPr="001238DD">
        <w:rPr>
          <w:rFonts w:ascii="Times New Roman" w:hAnsi="Times New Roman" w:cs="Times New Roman"/>
          <w:i/>
          <w:sz w:val="24"/>
          <w:szCs w:val="24"/>
        </w:rPr>
        <w:t>Climate</w:t>
      </w:r>
      <w:proofErr w:type="spellEnd"/>
      <w:r w:rsidR="007B6DD2" w:rsidRPr="001238DD">
        <w:rPr>
          <w:rFonts w:ascii="Times New Roman" w:hAnsi="Times New Roman" w:cs="Times New Roman"/>
          <w:i/>
          <w:sz w:val="24"/>
          <w:szCs w:val="24"/>
        </w:rPr>
        <w:t xml:space="preserve"> </w:t>
      </w:r>
      <w:proofErr w:type="spellStart"/>
      <w:r w:rsidR="007B6DD2" w:rsidRPr="001238DD">
        <w:rPr>
          <w:rFonts w:ascii="Times New Roman" w:hAnsi="Times New Roman" w:cs="Times New Roman"/>
          <w:i/>
          <w:sz w:val="24"/>
          <w:szCs w:val="24"/>
        </w:rPr>
        <w:t>Disclosure</w:t>
      </w:r>
      <w:proofErr w:type="spellEnd"/>
      <w:r w:rsidR="0096393D" w:rsidRPr="001238DD">
        <w:rPr>
          <w:rFonts w:ascii="Times New Roman" w:hAnsi="Times New Roman" w:cs="Times New Roman"/>
          <w:i/>
          <w:sz w:val="24"/>
          <w:szCs w:val="24"/>
        </w:rPr>
        <w:t xml:space="preserve"> Standards </w:t>
      </w:r>
      <w:proofErr w:type="spellStart"/>
      <w:r w:rsidR="0096393D" w:rsidRPr="001238DD">
        <w:rPr>
          <w:rFonts w:ascii="Times New Roman" w:hAnsi="Times New Roman" w:cs="Times New Roman"/>
          <w:i/>
          <w:sz w:val="24"/>
          <w:szCs w:val="24"/>
        </w:rPr>
        <w:t>Board</w:t>
      </w:r>
      <w:proofErr w:type="spellEnd"/>
      <w:r w:rsidR="0096393D" w:rsidRPr="001238DD">
        <w:rPr>
          <w:rFonts w:ascii="Times New Roman" w:hAnsi="Times New Roman" w:cs="Times New Roman"/>
          <w:sz w:val="24"/>
          <w:szCs w:val="24"/>
        </w:rPr>
        <w:t>)</w:t>
      </w:r>
      <w:r w:rsidR="0096393D">
        <w:rPr>
          <w:rFonts w:ascii="Times New Roman" w:hAnsi="Times New Roman" w:cs="Times New Roman"/>
          <w:sz w:val="24"/>
          <w:szCs w:val="24"/>
        </w:rPr>
        <w:t>, de l’IIRC (</w:t>
      </w:r>
      <w:r w:rsidR="0096393D" w:rsidRPr="001238DD">
        <w:rPr>
          <w:rFonts w:ascii="Times New Roman" w:hAnsi="Times New Roman" w:cs="Times New Roman"/>
          <w:i/>
          <w:sz w:val="24"/>
          <w:szCs w:val="24"/>
        </w:rPr>
        <w:t xml:space="preserve">International Integrated </w:t>
      </w:r>
      <w:proofErr w:type="spellStart"/>
      <w:r w:rsidR="0096393D" w:rsidRPr="001238DD">
        <w:rPr>
          <w:rFonts w:ascii="Times New Roman" w:hAnsi="Times New Roman" w:cs="Times New Roman"/>
          <w:i/>
          <w:sz w:val="24"/>
          <w:szCs w:val="24"/>
        </w:rPr>
        <w:t>Reporting</w:t>
      </w:r>
      <w:proofErr w:type="spellEnd"/>
      <w:r w:rsidR="0096393D" w:rsidRPr="001238DD">
        <w:rPr>
          <w:rFonts w:ascii="Times New Roman" w:hAnsi="Times New Roman" w:cs="Times New Roman"/>
          <w:i/>
          <w:sz w:val="24"/>
          <w:szCs w:val="24"/>
        </w:rPr>
        <w:t xml:space="preserve"> Council</w:t>
      </w:r>
      <w:r w:rsidR="0096393D">
        <w:rPr>
          <w:rFonts w:ascii="Times New Roman" w:hAnsi="Times New Roman" w:cs="Times New Roman"/>
          <w:sz w:val="24"/>
          <w:szCs w:val="24"/>
        </w:rPr>
        <w:t>) et du SASB (</w:t>
      </w:r>
      <w:proofErr w:type="spellStart"/>
      <w:r w:rsidR="0096393D" w:rsidRPr="001238DD">
        <w:rPr>
          <w:rFonts w:ascii="Times New Roman" w:hAnsi="Times New Roman" w:cs="Times New Roman"/>
          <w:i/>
          <w:sz w:val="24"/>
          <w:szCs w:val="24"/>
        </w:rPr>
        <w:t>Sustainability</w:t>
      </w:r>
      <w:proofErr w:type="spellEnd"/>
      <w:r w:rsidR="0096393D">
        <w:rPr>
          <w:rFonts w:ascii="Times New Roman" w:hAnsi="Times New Roman" w:cs="Times New Roman"/>
          <w:sz w:val="24"/>
          <w:szCs w:val="24"/>
        </w:rPr>
        <w:t xml:space="preserve"> </w:t>
      </w:r>
      <w:proofErr w:type="spellStart"/>
      <w:r w:rsidR="0096393D" w:rsidRPr="001238DD">
        <w:rPr>
          <w:rFonts w:ascii="Times New Roman" w:hAnsi="Times New Roman" w:cs="Times New Roman"/>
          <w:i/>
          <w:sz w:val="24"/>
          <w:szCs w:val="24"/>
        </w:rPr>
        <w:t>Accounting</w:t>
      </w:r>
      <w:proofErr w:type="spellEnd"/>
      <w:r w:rsidR="0096393D" w:rsidRPr="001238DD">
        <w:rPr>
          <w:rFonts w:ascii="Times New Roman" w:hAnsi="Times New Roman" w:cs="Times New Roman"/>
          <w:i/>
          <w:sz w:val="24"/>
          <w:szCs w:val="24"/>
        </w:rPr>
        <w:t xml:space="preserve"> </w:t>
      </w:r>
      <w:proofErr w:type="spellStart"/>
      <w:r w:rsidR="0096393D" w:rsidRPr="001238DD">
        <w:rPr>
          <w:rFonts w:ascii="Times New Roman" w:hAnsi="Times New Roman" w:cs="Times New Roman"/>
          <w:i/>
          <w:sz w:val="24"/>
          <w:szCs w:val="24"/>
        </w:rPr>
        <w:t>Stanadards</w:t>
      </w:r>
      <w:proofErr w:type="spellEnd"/>
      <w:r w:rsidR="0096393D" w:rsidRPr="001238DD">
        <w:rPr>
          <w:rFonts w:ascii="Times New Roman" w:hAnsi="Times New Roman" w:cs="Times New Roman"/>
          <w:i/>
          <w:sz w:val="24"/>
          <w:szCs w:val="24"/>
        </w:rPr>
        <w:t xml:space="preserve"> </w:t>
      </w:r>
      <w:proofErr w:type="spellStart"/>
      <w:r w:rsidR="0096393D" w:rsidRPr="001238DD">
        <w:rPr>
          <w:rFonts w:ascii="Times New Roman" w:hAnsi="Times New Roman" w:cs="Times New Roman"/>
          <w:i/>
          <w:sz w:val="24"/>
          <w:szCs w:val="24"/>
        </w:rPr>
        <w:t>Board</w:t>
      </w:r>
      <w:proofErr w:type="spellEnd"/>
      <w:r w:rsidR="0096393D">
        <w:rPr>
          <w:rFonts w:ascii="Times New Roman" w:hAnsi="Times New Roman" w:cs="Times New Roman"/>
          <w:sz w:val="24"/>
          <w:szCs w:val="24"/>
        </w:rPr>
        <w:t xml:space="preserve">). Dans le secteur bancaire, </w:t>
      </w:r>
      <w:r w:rsidR="0096393D" w:rsidRPr="001238DD">
        <w:rPr>
          <w:rFonts w:ascii="Times New Roman" w:hAnsi="Times New Roman" w:cs="Times New Roman"/>
          <w:sz w:val="24"/>
          <w:szCs w:val="24"/>
        </w:rPr>
        <w:t>l’</w:t>
      </w:r>
      <w:proofErr w:type="spellStart"/>
      <w:r w:rsidR="0096393D" w:rsidRPr="001238DD">
        <w:rPr>
          <w:rFonts w:ascii="Times New Roman" w:hAnsi="Times New Roman" w:cs="Times New Roman"/>
          <w:i/>
          <w:sz w:val="24"/>
          <w:szCs w:val="24"/>
        </w:rPr>
        <w:t>European</w:t>
      </w:r>
      <w:proofErr w:type="spellEnd"/>
      <w:r w:rsidR="0096393D" w:rsidRPr="001238DD">
        <w:rPr>
          <w:rFonts w:ascii="Times New Roman" w:hAnsi="Times New Roman" w:cs="Times New Roman"/>
          <w:i/>
          <w:sz w:val="24"/>
          <w:szCs w:val="24"/>
        </w:rPr>
        <w:t xml:space="preserve"> Banking </w:t>
      </w:r>
      <w:proofErr w:type="spellStart"/>
      <w:r w:rsidR="0096393D" w:rsidRPr="001238DD">
        <w:rPr>
          <w:rFonts w:ascii="Times New Roman" w:hAnsi="Times New Roman" w:cs="Times New Roman"/>
          <w:i/>
          <w:sz w:val="24"/>
          <w:szCs w:val="24"/>
        </w:rPr>
        <w:t>Authority</w:t>
      </w:r>
      <w:proofErr w:type="spellEnd"/>
      <w:r w:rsidR="0096393D">
        <w:rPr>
          <w:rFonts w:ascii="Times New Roman" w:hAnsi="Times New Roman" w:cs="Times New Roman"/>
          <w:sz w:val="24"/>
          <w:szCs w:val="24"/>
        </w:rPr>
        <w:t xml:space="preserve"> (EBA) réfléchit à des règles harmonisées d</w:t>
      </w:r>
      <w:r w:rsidR="00834B4F">
        <w:rPr>
          <w:rFonts w:ascii="Times New Roman" w:hAnsi="Times New Roman" w:cs="Times New Roman"/>
          <w:sz w:val="24"/>
          <w:szCs w:val="24"/>
        </w:rPr>
        <w:t>e divulgation d’information ESG pour le secteur.</w:t>
      </w:r>
    </w:p>
    <w:p w:rsidR="00EB3251" w:rsidRDefault="00EB3251" w:rsidP="00EB3251">
      <w:pPr>
        <w:spacing w:line="480" w:lineRule="auto"/>
        <w:jc w:val="both"/>
        <w:rPr>
          <w:rFonts w:ascii="Times New Roman" w:hAnsi="Times New Roman" w:cs="Times New Roman"/>
          <w:sz w:val="24"/>
          <w:szCs w:val="24"/>
        </w:rPr>
      </w:pPr>
      <w:r>
        <w:rPr>
          <w:rFonts w:ascii="Times New Roman" w:hAnsi="Times New Roman" w:cs="Times New Roman"/>
          <w:sz w:val="24"/>
          <w:szCs w:val="24"/>
        </w:rPr>
        <w:t>Le rôle réglementaire des pouvoirs publics est une des dimensions des contextes nationaux qui, selon la théorie néo-institutionnelle, influencent lar</w:t>
      </w:r>
      <w:r w:rsidR="008B7E76">
        <w:rPr>
          <w:rFonts w:ascii="Times New Roman" w:hAnsi="Times New Roman" w:cs="Times New Roman"/>
          <w:sz w:val="24"/>
          <w:szCs w:val="24"/>
        </w:rPr>
        <w:t>gement les politiques de DVI extra</w:t>
      </w:r>
      <w:r>
        <w:rPr>
          <w:rFonts w:ascii="Times New Roman" w:hAnsi="Times New Roman" w:cs="Times New Roman"/>
          <w:sz w:val="24"/>
          <w:szCs w:val="24"/>
        </w:rPr>
        <w:t xml:space="preserve">-financière des firmes. Dans le cas spécifique du secteur bancaire, les caractéristiques des systèmes légaux, au travers de forces coercitives et normatives, et les politiques environnementales des Etats sont des déterminants potentiels qui restent à explorer. Le phénomène d’isomorphisme et la recherche de légitimité pourraient faire converger les pratiques organisationnelles et managériales de DVI des banques. Le contexte institutionnel est multiforme et de futures recherches pourraient </w:t>
      </w:r>
      <w:r w:rsidR="00201E07">
        <w:rPr>
          <w:rFonts w:ascii="Times New Roman" w:hAnsi="Times New Roman" w:cs="Times New Roman"/>
          <w:sz w:val="24"/>
          <w:szCs w:val="24"/>
        </w:rPr>
        <w:t xml:space="preserve">tenter de caractériser les trois formes d’isomorphismes et calculer des indicateurs pertinents pour </w:t>
      </w:r>
      <w:r>
        <w:rPr>
          <w:rFonts w:ascii="Times New Roman" w:hAnsi="Times New Roman" w:cs="Times New Roman"/>
          <w:sz w:val="24"/>
          <w:szCs w:val="24"/>
        </w:rPr>
        <w:t>inc</w:t>
      </w:r>
      <w:r w:rsidR="00201E07">
        <w:rPr>
          <w:rFonts w:ascii="Times New Roman" w:hAnsi="Times New Roman" w:cs="Times New Roman"/>
          <w:sz w:val="24"/>
          <w:szCs w:val="24"/>
        </w:rPr>
        <w:t>lure dans les modèles expl</w:t>
      </w:r>
      <w:r w:rsidR="001238DD">
        <w:rPr>
          <w:rFonts w:ascii="Times New Roman" w:hAnsi="Times New Roman" w:cs="Times New Roman"/>
          <w:sz w:val="24"/>
          <w:szCs w:val="24"/>
        </w:rPr>
        <w:t xml:space="preserve">icatifs </w:t>
      </w:r>
      <w:bookmarkStart w:id="0" w:name="_GoBack"/>
      <w:bookmarkEnd w:id="0"/>
      <w:r>
        <w:rPr>
          <w:rFonts w:ascii="Times New Roman" w:hAnsi="Times New Roman" w:cs="Times New Roman"/>
          <w:sz w:val="24"/>
          <w:szCs w:val="24"/>
        </w:rPr>
        <w:t>des variables traduisant l’origine du système légal du pays (dichotomie droit civil / droit commun)</w:t>
      </w:r>
      <w:r w:rsidR="00201E07">
        <w:rPr>
          <w:rFonts w:ascii="Times New Roman" w:hAnsi="Times New Roman" w:cs="Times New Roman"/>
          <w:sz w:val="24"/>
          <w:szCs w:val="24"/>
        </w:rPr>
        <w:t xml:space="preserve">, </w:t>
      </w:r>
      <w:r>
        <w:rPr>
          <w:rFonts w:ascii="Times New Roman" w:hAnsi="Times New Roman" w:cs="Times New Roman"/>
          <w:sz w:val="24"/>
          <w:szCs w:val="24"/>
        </w:rPr>
        <w:t>les dimensions culturelles d’</w:t>
      </w:r>
      <w:proofErr w:type="spellStart"/>
      <w:r>
        <w:rPr>
          <w:rFonts w:ascii="Times New Roman" w:hAnsi="Times New Roman" w:cs="Times New Roman"/>
          <w:sz w:val="24"/>
          <w:szCs w:val="24"/>
        </w:rPr>
        <w:t>Hofstede</w:t>
      </w:r>
      <w:proofErr w:type="spellEnd"/>
      <w:r>
        <w:rPr>
          <w:rFonts w:ascii="Times New Roman" w:hAnsi="Times New Roman" w:cs="Times New Roman"/>
          <w:sz w:val="24"/>
          <w:szCs w:val="24"/>
        </w:rPr>
        <w:t>, les normes comptables et financières et les réglementations nationales du secteur bancaire.</w:t>
      </w:r>
    </w:p>
    <w:p w:rsidR="00EB3251" w:rsidRDefault="00EB3251" w:rsidP="00EB3251">
      <w:pPr>
        <w:spacing w:line="480" w:lineRule="auto"/>
        <w:jc w:val="both"/>
        <w:rPr>
          <w:rFonts w:ascii="Times New Roman" w:hAnsi="Times New Roman" w:cs="Times New Roman"/>
          <w:sz w:val="24"/>
          <w:szCs w:val="24"/>
        </w:rPr>
      </w:pPr>
      <w:r>
        <w:rPr>
          <w:rFonts w:ascii="Times New Roman" w:hAnsi="Times New Roman" w:cs="Times New Roman"/>
          <w:sz w:val="24"/>
          <w:szCs w:val="24"/>
        </w:rPr>
        <w:t>De même, la porosité et l’alignement des politiques environnementales des Etats et celles des acteurs économiques militent pour la prise en compte d’indicateurs « p</w:t>
      </w:r>
      <w:r w:rsidR="004A7CF9">
        <w:rPr>
          <w:rFonts w:ascii="Times New Roman" w:hAnsi="Times New Roman" w:cs="Times New Roman"/>
          <w:sz w:val="24"/>
          <w:szCs w:val="24"/>
        </w:rPr>
        <w:t>ays » spécifiques (</w:t>
      </w:r>
      <w:proofErr w:type="spellStart"/>
      <w:r w:rsidR="004A7CF9">
        <w:rPr>
          <w:rFonts w:ascii="Times New Roman" w:hAnsi="Times New Roman" w:cs="Times New Roman"/>
          <w:sz w:val="24"/>
          <w:szCs w:val="24"/>
        </w:rPr>
        <w:t>Boura</w:t>
      </w:r>
      <w:proofErr w:type="spellEnd"/>
      <w:r w:rsidR="004A7CF9">
        <w:rPr>
          <w:rFonts w:ascii="Times New Roman" w:hAnsi="Times New Roman" w:cs="Times New Roman"/>
          <w:sz w:val="24"/>
          <w:szCs w:val="24"/>
        </w:rPr>
        <w:t xml:space="preserve"> et al.</w:t>
      </w:r>
      <w:r>
        <w:rPr>
          <w:rFonts w:ascii="Times New Roman" w:hAnsi="Times New Roman" w:cs="Times New Roman"/>
          <w:sz w:val="24"/>
          <w:szCs w:val="24"/>
        </w:rPr>
        <w:t xml:space="preserve"> 202</w:t>
      </w:r>
      <w:r w:rsidR="004A7CF9">
        <w:rPr>
          <w:rFonts w:ascii="Times New Roman" w:hAnsi="Times New Roman" w:cs="Times New Roman"/>
          <w:sz w:val="24"/>
          <w:szCs w:val="24"/>
        </w:rPr>
        <w:t>0) : systèm</w:t>
      </w:r>
      <w:r w:rsidR="00E65D42">
        <w:rPr>
          <w:rFonts w:ascii="Times New Roman" w:hAnsi="Times New Roman" w:cs="Times New Roman"/>
          <w:sz w:val="24"/>
          <w:szCs w:val="24"/>
        </w:rPr>
        <w:t>e d’échange de quotas d’émissions</w:t>
      </w:r>
      <w:r>
        <w:rPr>
          <w:rFonts w:ascii="Times New Roman" w:hAnsi="Times New Roman" w:cs="Times New Roman"/>
          <w:sz w:val="24"/>
          <w:szCs w:val="24"/>
        </w:rPr>
        <w:t xml:space="preserve">, taxes et brevets technologiques liés à l’environnement, réglementations environnementales nationales, mix et politique énergétiques </w:t>
      </w:r>
      <w:r>
        <w:rPr>
          <w:rFonts w:ascii="Times New Roman" w:hAnsi="Times New Roman" w:cs="Times New Roman"/>
          <w:sz w:val="24"/>
          <w:szCs w:val="24"/>
        </w:rPr>
        <w:lastRenderedPageBreak/>
        <w:t>des Etats (données de l’Agence Internationale de l’Energie, AIE), ratification d’accords environnementaux internationaux, émissions de CO2 par habitant… Des tests sur des échantillons internationaux de banques permettraient de discriminer efficacement ces hypothèses.</w:t>
      </w:r>
    </w:p>
    <w:p w:rsidR="00EB3251" w:rsidRDefault="00EB3251" w:rsidP="00EB3251">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Enfin, </w:t>
      </w:r>
      <w:r w:rsidR="00201E07">
        <w:rPr>
          <w:rFonts w:ascii="Times New Roman" w:hAnsi="Times New Roman" w:cs="Times New Roman"/>
          <w:sz w:val="24"/>
          <w:szCs w:val="24"/>
        </w:rPr>
        <w:t>la question des structures de propriété des banques est à creuser avec l’analyse des participations croisées entre b</w:t>
      </w:r>
      <w:r w:rsidR="00C32A08">
        <w:rPr>
          <w:rFonts w:ascii="Times New Roman" w:hAnsi="Times New Roman" w:cs="Times New Roman"/>
          <w:sz w:val="24"/>
          <w:szCs w:val="24"/>
        </w:rPr>
        <w:t>anques, des engagements environnementaux des principaux fonds d’investissement et leurs impacts sur la communication extra-financière. L’étude des mécanismes de gouvernance interne, instances dédiées et composition du conseil d’administration, serait également nécessaire dans le cas des banques.</w:t>
      </w:r>
    </w:p>
    <w:p w:rsidR="008B7E76" w:rsidRDefault="008B7E76" w:rsidP="00EB3251">
      <w:pPr>
        <w:spacing w:line="480" w:lineRule="auto"/>
        <w:jc w:val="both"/>
        <w:rPr>
          <w:rFonts w:ascii="Times New Roman" w:hAnsi="Times New Roman" w:cs="Times New Roman"/>
          <w:b/>
          <w:sz w:val="24"/>
          <w:szCs w:val="24"/>
        </w:rPr>
      </w:pPr>
    </w:p>
    <w:p w:rsidR="00EB3251" w:rsidRPr="008D48CD" w:rsidRDefault="008D48CD" w:rsidP="00EB3251">
      <w:pPr>
        <w:spacing w:line="480" w:lineRule="auto"/>
        <w:jc w:val="both"/>
        <w:rPr>
          <w:rFonts w:ascii="Times New Roman" w:hAnsi="Times New Roman" w:cs="Times New Roman"/>
          <w:b/>
        </w:rPr>
      </w:pPr>
      <w:r w:rsidRPr="008D48CD">
        <w:rPr>
          <w:rFonts w:ascii="Times New Roman" w:hAnsi="Times New Roman" w:cs="Times New Roman"/>
          <w:b/>
        </w:rPr>
        <w:t>Bibliographie</w:t>
      </w:r>
    </w:p>
    <w:p w:rsidR="00EB3251" w:rsidRPr="005B2E32" w:rsidRDefault="003C400A" w:rsidP="005B2E32">
      <w:pPr>
        <w:spacing w:after="0" w:line="480" w:lineRule="auto"/>
        <w:jc w:val="both"/>
        <w:rPr>
          <w:rFonts w:ascii="Times New Roman" w:eastAsia="Times New Roman" w:hAnsi="Times New Roman" w:cs="Times New Roman"/>
          <w:lang w:eastAsia="fr-FR"/>
        </w:rPr>
      </w:pPr>
      <w:hyperlink r:id="rId17" w:tooltip="Merve Acar" w:history="1">
        <w:proofErr w:type="spellStart"/>
        <w:r w:rsidR="00EB3251" w:rsidRPr="005B2E32">
          <w:rPr>
            <w:rFonts w:ascii="Times New Roman" w:eastAsia="Times New Roman" w:hAnsi="Times New Roman" w:cs="Times New Roman"/>
            <w:lang w:eastAsia="fr-FR"/>
          </w:rPr>
          <w:t>Acar</w:t>
        </w:r>
        <w:proofErr w:type="spellEnd"/>
        <w:r w:rsidR="00EB3251" w:rsidRPr="005B2E32">
          <w:rPr>
            <w:rFonts w:ascii="Times New Roman" w:eastAsia="Times New Roman" w:hAnsi="Times New Roman" w:cs="Times New Roman"/>
            <w:lang w:eastAsia="fr-FR"/>
          </w:rPr>
          <w:t>, M</w:t>
        </w:r>
      </w:hyperlink>
      <w:r w:rsidR="00E96995"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 xml:space="preserve"> </w:t>
      </w:r>
      <w:hyperlink r:id="rId18" w:tooltip="Hüseyin Temiz" w:history="1">
        <w:proofErr w:type="spellStart"/>
        <w:r w:rsidR="00EB3251" w:rsidRPr="005B2E32">
          <w:rPr>
            <w:rFonts w:ascii="Times New Roman" w:eastAsia="Times New Roman" w:hAnsi="Times New Roman" w:cs="Times New Roman"/>
            <w:lang w:eastAsia="fr-FR"/>
          </w:rPr>
          <w:t>Temiz</w:t>
        </w:r>
        <w:proofErr w:type="spellEnd"/>
        <w:r w:rsidR="00EB3251" w:rsidRPr="005B2E32">
          <w:rPr>
            <w:rFonts w:ascii="Times New Roman" w:eastAsia="Times New Roman" w:hAnsi="Times New Roman" w:cs="Times New Roman"/>
            <w:lang w:eastAsia="fr-FR"/>
          </w:rPr>
          <w:t>, H</w:t>
        </w:r>
      </w:hyperlink>
      <w:r w:rsidR="00E96995" w:rsidRPr="005B2E32">
        <w:rPr>
          <w:rFonts w:ascii="Times New Roman" w:eastAsia="Times New Roman" w:hAnsi="Times New Roman" w:cs="Times New Roman"/>
          <w:lang w:eastAsia="fr-FR"/>
        </w:rPr>
        <w:t xml:space="preserve">. (2020). </w:t>
      </w:r>
      <w:proofErr w:type="spellStart"/>
      <w:r w:rsidR="00EB3251" w:rsidRPr="005B2E32">
        <w:rPr>
          <w:rFonts w:ascii="Times New Roman" w:eastAsia="Times New Roman" w:hAnsi="Times New Roman" w:cs="Times New Roman"/>
          <w:lang w:eastAsia="fr-FR"/>
        </w:rPr>
        <w:t>Empirical</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analysis</w:t>
      </w:r>
      <w:proofErr w:type="spellEnd"/>
      <w:r w:rsidR="00EB3251" w:rsidRPr="005B2E32">
        <w:rPr>
          <w:rFonts w:ascii="Times New Roman" w:eastAsia="Times New Roman" w:hAnsi="Times New Roman" w:cs="Times New Roman"/>
          <w:lang w:eastAsia="fr-FR"/>
        </w:rPr>
        <w:t xml:space="preserve"> on </w:t>
      </w:r>
      <w:proofErr w:type="spellStart"/>
      <w:r w:rsidR="00EB3251" w:rsidRPr="005B2E32">
        <w:rPr>
          <w:rFonts w:ascii="Times New Roman" w:eastAsia="Times New Roman" w:hAnsi="Times New Roman" w:cs="Times New Roman"/>
          <w:lang w:eastAsia="fr-FR"/>
        </w:rPr>
        <w:t>corporate</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environmental</w:t>
      </w:r>
      <w:proofErr w:type="spellEnd"/>
      <w:r w:rsidR="00EB3251" w:rsidRPr="005B2E32">
        <w:rPr>
          <w:rFonts w:ascii="Times New Roman" w:eastAsia="Times New Roman" w:hAnsi="Times New Roman" w:cs="Times New Roman"/>
          <w:lang w:eastAsia="fr-FR"/>
        </w:rPr>
        <w:t xml:space="preserve"> performance and </w:t>
      </w:r>
      <w:proofErr w:type="spellStart"/>
      <w:r w:rsidR="00EB3251" w:rsidRPr="005B2E32">
        <w:rPr>
          <w:rFonts w:ascii="Times New Roman" w:eastAsia="Times New Roman" w:hAnsi="Times New Roman" w:cs="Times New Roman"/>
          <w:lang w:eastAsia="fr-FR"/>
        </w:rPr>
        <w:t>environmental</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disclosure</w:t>
      </w:r>
      <w:proofErr w:type="spellEnd"/>
      <w:r w:rsidR="00EB3251" w:rsidRPr="005B2E32">
        <w:rPr>
          <w:rFonts w:ascii="Times New Roman" w:eastAsia="Times New Roman" w:hAnsi="Times New Roman" w:cs="Times New Roman"/>
          <w:lang w:eastAsia="fr-FR"/>
        </w:rPr>
        <w:t xml:space="preserve"> in an </w:t>
      </w:r>
      <w:proofErr w:type="spellStart"/>
      <w:r w:rsidR="00EB3251" w:rsidRPr="005B2E32">
        <w:rPr>
          <w:rFonts w:ascii="Times New Roman" w:eastAsia="Times New Roman" w:hAnsi="Times New Roman" w:cs="Times New Roman"/>
          <w:lang w:eastAsia="fr-FR"/>
        </w:rPr>
        <w:t>emerging</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market</w:t>
      </w:r>
      <w:proofErr w:type="spellEnd"/>
      <w:r w:rsidR="00EB3251" w:rsidRPr="005B2E32">
        <w:rPr>
          <w:rFonts w:ascii="Times New Roman" w:eastAsia="Times New Roman" w:hAnsi="Times New Roman" w:cs="Times New Roman"/>
          <w:lang w:eastAsia="fr-FR"/>
        </w:rPr>
        <w:t xml:space="preserve"> </w:t>
      </w:r>
      <w:proofErr w:type="spellStart"/>
      <w:proofErr w:type="gramStart"/>
      <w:r w:rsidR="00EB3251" w:rsidRPr="005B2E32">
        <w:rPr>
          <w:rFonts w:ascii="Times New Roman" w:eastAsia="Times New Roman" w:hAnsi="Times New Roman" w:cs="Times New Roman"/>
          <w:lang w:eastAsia="fr-FR"/>
        </w:rPr>
        <w:t>context</w:t>
      </w:r>
      <w:proofErr w:type="spellEnd"/>
      <w:r w:rsidR="00EB3251" w:rsidRPr="005B2E32">
        <w:rPr>
          <w:rFonts w:ascii="Times New Roman" w:eastAsia="Times New Roman" w:hAnsi="Times New Roman" w:cs="Times New Roman"/>
          <w:lang w:eastAsia="fr-FR"/>
        </w:rPr>
        <w:t>:</w:t>
      </w:r>
      <w:proofErr w:type="gramEnd"/>
      <w:r w:rsidR="00EB3251" w:rsidRPr="005B2E32">
        <w:rPr>
          <w:rFonts w:ascii="Times New Roman" w:eastAsia="Times New Roman" w:hAnsi="Times New Roman" w:cs="Times New Roman"/>
          <w:lang w:eastAsia="fr-FR"/>
        </w:rPr>
        <w:t xml:space="preserve"> Socio-</w:t>
      </w:r>
      <w:proofErr w:type="spellStart"/>
      <w:r w:rsidR="00EB3251" w:rsidRPr="005B2E32">
        <w:rPr>
          <w:rFonts w:ascii="Times New Roman" w:eastAsia="Times New Roman" w:hAnsi="Times New Roman" w:cs="Times New Roman"/>
          <w:lang w:eastAsia="fr-FR"/>
        </w:rPr>
        <w:t>political</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theories</w:t>
      </w:r>
      <w:proofErr w:type="spellEnd"/>
      <w:r w:rsidR="00EB3251" w:rsidRPr="005B2E32">
        <w:rPr>
          <w:rFonts w:ascii="Times New Roman" w:eastAsia="Times New Roman" w:hAnsi="Times New Roman" w:cs="Times New Roman"/>
          <w:lang w:eastAsia="fr-FR"/>
        </w:rPr>
        <w:t xml:space="preserve"> versus</w:t>
      </w:r>
      <w:r w:rsidR="00E96995" w:rsidRPr="005B2E32">
        <w:rPr>
          <w:rFonts w:ascii="Times New Roman" w:eastAsia="Times New Roman" w:hAnsi="Times New Roman" w:cs="Times New Roman"/>
          <w:lang w:eastAsia="fr-FR"/>
        </w:rPr>
        <w:t xml:space="preserve"> </w:t>
      </w:r>
      <w:proofErr w:type="spellStart"/>
      <w:r w:rsidR="00E96995" w:rsidRPr="005B2E32">
        <w:rPr>
          <w:rFonts w:ascii="Times New Roman" w:eastAsia="Times New Roman" w:hAnsi="Times New Roman" w:cs="Times New Roman"/>
          <w:lang w:eastAsia="fr-FR"/>
        </w:rPr>
        <w:t>economics</w:t>
      </w:r>
      <w:proofErr w:type="spellEnd"/>
      <w:r w:rsidR="00E96995" w:rsidRPr="005B2E32">
        <w:rPr>
          <w:rFonts w:ascii="Times New Roman" w:eastAsia="Times New Roman" w:hAnsi="Times New Roman" w:cs="Times New Roman"/>
          <w:lang w:eastAsia="fr-FR"/>
        </w:rPr>
        <w:t xml:space="preserve"> </w:t>
      </w:r>
      <w:proofErr w:type="spellStart"/>
      <w:r w:rsidR="00E96995" w:rsidRPr="005B2E32">
        <w:rPr>
          <w:rFonts w:ascii="Times New Roman" w:eastAsia="Times New Roman" w:hAnsi="Times New Roman" w:cs="Times New Roman"/>
          <w:lang w:eastAsia="fr-FR"/>
        </w:rPr>
        <w:t>disclosure</w:t>
      </w:r>
      <w:proofErr w:type="spellEnd"/>
      <w:r w:rsidR="00E96995" w:rsidRPr="005B2E32">
        <w:rPr>
          <w:rFonts w:ascii="Times New Roman" w:eastAsia="Times New Roman" w:hAnsi="Times New Roman" w:cs="Times New Roman"/>
          <w:lang w:eastAsia="fr-FR"/>
        </w:rPr>
        <w:t xml:space="preserve"> </w:t>
      </w:r>
      <w:proofErr w:type="spellStart"/>
      <w:r w:rsidR="00E96995" w:rsidRPr="005B2E32">
        <w:rPr>
          <w:rFonts w:ascii="Times New Roman" w:eastAsia="Times New Roman" w:hAnsi="Times New Roman" w:cs="Times New Roman"/>
          <w:lang w:eastAsia="fr-FR"/>
        </w:rPr>
        <w:t>theories</w:t>
      </w:r>
      <w:proofErr w:type="spellEnd"/>
      <w:r w:rsidR="00E96995"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 xml:space="preserve"> </w:t>
      </w:r>
      <w:hyperlink r:id="rId19" w:history="1">
        <w:r w:rsidR="00EB3251" w:rsidRPr="005B2E32">
          <w:rPr>
            <w:rFonts w:ascii="Times New Roman" w:eastAsia="Times New Roman" w:hAnsi="Times New Roman" w:cs="Times New Roman"/>
            <w:i/>
            <w:iCs/>
            <w:lang w:eastAsia="fr-FR"/>
          </w:rPr>
          <w:t xml:space="preserve">International Journal of </w:t>
        </w:r>
        <w:proofErr w:type="spellStart"/>
        <w:r w:rsidR="00EB3251" w:rsidRPr="005B2E32">
          <w:rPr>
            <w:rFonts w:ascii="Times New Roman" w:eastAsia="Times New Roman" w:hAnsi="Times New Roman" w:cs="Times New Roman"/>
            <w:i/>
            <w:iCs/>
            <w:lang w:eastAsia="fr-FR"/>
          </w:rPr>
          <w:t>Emerging</w:t>
        </w:r>
        <w:proofErr w:type="spellEnd"/>
        <w:r w:rsidR="00EB3251" w:rsidRPr="005B2E32">
          <w:rPr>
            <w:rFonts w:ascii="Times New Roman" w:eastAsia="Times New Roman" w:hAnsi="Times New Roman" w:cs="Times New Roman"/>
            <w:i/>
            <w:iCs/>
            <w:lang w:eastAsia="fr-FR"/>
          </w:rPr>
          <w:t xml:space="preserve"> </w:t>
        </w:r>
        <w:proofErr w:type="spellStart"/>
        <w:r w:rsidR="00EB3251" w:rsidRPr="005B2E32">
          <w:rPr>
            <w:rFonts w:ascii="Times New Roman" w:eastAsia="Times New Roman" w:hAnsi="Times New Roman" w:cs="Times New Roman"/>
            <w:i/>
            <w:iCs/>
            <w:lang w:eastAsia="fr-FR"/>
          </w:rPr>
          <w:t>Markets</w:t>
        </w:r>
        <w:proofErr w:type="spellEnd"/>
      </w:hyperlink>
      <w:r w:rsidR="00E96995" w:rsidRPr="005B2E32">
        <w:rPr>
          <w:rFonts w:ascii="Times New Roman" w:eastAsia="Times New Roman" w:hAnsi="Times New Roman" w:cs="Times New Roman"/>
          <w:lang w:eastAsia="fr-FR"/>
        </w:rPr>
        <w:t xml:space="preserve"> 15</w:t>
      </w:r>
      <w:r w:rsidR="00EB3251" w:rsidRPr="005B2E32">
        <w:rPr>
          <w:rFonts w:ascii="Times New Roman" w:eastAsia="Times New Roman" w:hAnsi="Times New Roman" w:cs="Times New Roman"/>
          <w:lang w:eastAsia="fr-FR"/>
        </w:rPr>
        <w:t xml:space="preserve"> </w:t>
      </w:r>
      <w:r w:rsidR="00E96995"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6</w:t>
      </w:r>
      <w:r w:rsidR="00E96995"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 xml:space="preserve"> 1061-1082. </w:t>
      </w:r>
    </w:p>
    <w:p w:rsidR="00EB3251" w:rsidRPr="005B2E32" w:rsidRDefault="00E96995"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Akerlof</w:t>
      </w:r>
      <w:proofErr w:type="spellEnd"/>
      <w:r w:rsidRPr="005B2E32">
        <w:rPr>
          <w:rFonts w:ascii="Times New Roman" w:hAnsi="Times New Roman" w:cs="Times New Roman"/>
        </w:rPr>
        <w:t xml:space="preserve">, G. A. (1970). </w:t>
      </w:r>
      <w:r w:rsidR="00D0173C" w:rsidRPr="005B2E32">
        <w:rPr>
          <w:rFonts w:ascii="Times New Roman" w:hAnsi="Times New Roman" w:cs="Times New Roman"/>
        </w:rPr>
        <w:t xml:space="preserve">The </w:t>
      </w:r>
      <w:proofErr w:type="spellStart"/>
      <w:r w:rsidR="00D0173C" w:rsidRPr="005B2E32">
        <w:rPr>
          <w:rFonts w:ascii="Times New Roman" w:hAnsi="Times New Roman" w:cs="Times New Roman"/>
        </w:rPr>
        <w:t>market</w:t>
      </w:r>
      <w:proofErr w:type="spellEnd"/>
      <w:r w:rsidR="00D0173C" w:rsidRPr="005B2E32">
        <w:rPr>
          <w:rFonts w:ascii="Times New Roman" w:hAnsi="Times New Roman" w:cs="Times New Roman"/>
        </w:rPr>
        <w:t xml:space="preserve"> for « </w:t>
      </w:r>
      <w:proofErr w:type="spellStart"/>
      <w:r w:rsidR="00D0173C" w:rsidRPr="005B2E32">
        <w:rPr>
          <w:rFonts w:ascii="Times New Roman" w:hAnsi="Times New Roman" w:cs="Times New Roman"/>
        </w:rPr>
        <w:t>lemons</w:t>
      </w:r>
      <w:proofErr w:type="spellEnd"/>
      <w:r w:rsidR="00D0173C" w:rsidRPr="005B2E32">
        <w:rPr>
          <w:rFonts w:ascii="Times New Roman" w:hAnsi="Times New Roman" w:cs="Times New Roman"/>
        </w:rPr>
        <w:t> </w:t>
      </w:r>
      <w:proofErr w:type="gramStart"/>
      <w:r w:rsidR="00D0173C" w:rsidRPr="005B2E32">
        <w:rPr>
          <w:rFonts w:ascii="Times New Roman" w:hAnsi="Times New Roman" w:cs="Times New Roman"/>
        </w:rPr>
        <w:t>»:</w:t>
      </w:r>
      <w:proofErr w:type="gramEnd"/>
      <w:r w:rsidR="00D0173C" w:rsidRPr="005B2E32">
        <w:rPr>
          <w:rFonts w:ascii="Times New Roman" w:hAnsi="Times New Roman" w:cs="Times New Roman"/>
        </w:rPr>
        <w:t xml:space="preserve"> </w:t>
      </w:r>
      <w:proofErr w:type="spellStart"/>
      <w:r w:rsidR="00D0173C" w:rsidRPr="005B2E32">
        <w:rPr>
          <w:rFonts w:ascii="Times New Roman" w:hAnsi="Times New Roman" w:cs="Times New Roman"/>
        </w:rPr>
        <w:t>Q</w:t>
      </w:r>
      <w:r w:rsidR="00EB3251" w:rsidRPr="005B2E32">
        <w:rPr>
          <w:rFonts w:ascii="Times New Roman" w:hAnsi="Times New Roman" w:cs="Times New Roman"/>
        </w:rPr>
        <w:t>uality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uncerta</w:t>
      </w:r>
      <w:r w:rsidRPr="005B2E32">
        <w:rPr>
          <w:rFonts w:ascii="Times New Roman" w:hAnsi="Times New Roman" w:cs="Times New Roman"/>
        </w:rPr>
        <w:t>inty</w:t>
      </w:r>
      <w:proofErr w:type="spellEnd"/>
      <w:r w:rsidRPr="005B2E32">
        <w:rPr>
          <w:rFonts w:ascii="Times New Roman" w:hAnsi="Times New Roman" w:cs="Times New Roman"/>
        </w:rPr>
        <w:t xml:space="preserve"> and the </w:t>
      </w:r>
      <w:proofErr w:type="spellStart"/>
      <w:r w:rsidRPr="005B2E32">
        <w:rPr>
          <w:rFonts w:ascii="Times New Roman" w:hAnsi="Times New Roman" w:cs="Times New Roman"/>
        </w:rPr>
        <w:t>market</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mechanism</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Quarterly</w:t>
      </w:r>
      <w:proofErr w:type="spellEnd"/>
      <w:r w:rsidR="00EB3251" w:rsidRPr="005B2E32">
        <w:rPr>
          <w:rFonts w:ascii="Times New Roman" w:hAnsi="Times New Roman" w:cs="Times New Roman"/>
          <w:i/>
        </w:rPr>
        <w:t xml:space="preserve"> Journal of </w:t>
      </w:r>
      <w:proofErr w:type="spellStart"/>
      <w:r w:rsidR="00EB3251" w:rsidRPr="005B2E32">
        <w:rPr>
          <w:rFonts w:ascii="Times New Roman" w:hAnsi="Times New Roman" w:cs="Times New Roman"/>
          <w:i/>
        </w:rPr>
        <w:t>Economics</w:t>
      </w:r>
      <w:proofErr w:type="spellEnd"/>
      <w:r w:rsidRPr="005B2E32">
        <w:rPr>
          <w:rFonts w:ascii="Times New Roman" w:hAnsi="Times New Roman" w:cs="Times New Roman"/>
        </w:rPr>
        <w:t xml:space="preserve"> 84 (</w:t>
      </w:r>
      <w:r w:rsidR="00EB3251" w:rsidRPr="005B2E32">
        <w:rPr>
          <w:rFonts w:ascii="Times New Roman" w:hAnsi="Times New Roman" w:cs="Times New Roman"/>
        </w:rPr>
        <w:t>3</w:t>
      </w:r>
      <w:proofErr w:type="gramStart"/>
      <w:r w:rsidRPr="005B2E32">
        <w:rPr>
          <w:rFonts w:ascii="Times New Roman" w:hAnsi="Times New Roman" w:cs="Times New Roman"/>
        </w:rPr>
        <w:t>):</w:t>
      </w:r>
      <w:proofErr w:type="gramEnd"/>
      <w:r w:rsidR="00EB3251" w:rsidRPr="005B2E32">
        <w:rPr>
          <w:rFonts w:ascii="Times New Roman" w:hAnsi="Times New Roman" w:cs="Times New Roman"/>
        </w:rPr>
        <w:t xml:space="preserve"> 488-500.</w:t>
      </w:r>
    </w:p>
    <w:p w:rsidR="00EB3251" w:rsidRPr="005B2E32" w:rsidRDefault="00E96995" w:rsidP="005B2E32">
      <w:pPr>
        <w:spacing w:after="0" w:line="480" w:lineRule="auto"/>
        <w:jc w:val="both"/>
        <w:rPr>
          <w:rFonts w:ascii="Times New Roman" w:hAnsi="Times New Roman" w:cs="Times New Roman"/>
        </w:rPr>
      </w:pPr>
      <w:r w:rsidRPr="005B2E32">
        <w:rPr>
          <w:rFonts w:ascii="Times New Roman" w:hAnsi="Times New Roman" w:cs="Times New Roman"/>
        </w:rPr>
        <w:t>Al-</w:t>
      </w:r>
      <w:proofErr w:type="spellStart"/>
      <w:r w:rsidRPr="005B2E32">
        <w:rPr>
          <w:rFonts w:ascii="Times New Roman" w:hAnsi="Times New Roman" w:cs="Times New Roman"/>
        </w:rPr>
        <w:t>Tuwaijri</w:t>
      </w:r>
      <w:proofErr w:type="spellEnd"/>
      <w:r w:rsidRPr="005B2E32">
        <w:rPr>
          <w:rFonts w:ascii="Times New Roman" w:hAnsi="Times New Roman" w:cs="Times New Roman"/>
        </w:rPr>
        <w:t xml:space="preserve">, S. </w:t>
      </w:r>
      <w:r w:rsidR="00EB3251" w:rsidRPr="005B2E32">
        <w:rPr>
          <w:rFonts w:ascii="Times New Roman" w:hAnsi="Times New Roman" w:cs="Times New Roman"/>
        </w:rPr>
        <w:t>A.</w:t>
      </w:r>
      <w:r w:rsidRPr="005B2E32">
        <w:rPr>
          <w:rFonts w:ascii="Times New Roman" w:hAnsi="Times New Roman" w:cs="Times New Roman"/>
        </w:rPr>
        <w:t xml:space="preserve">, Christensen, T. E., </w:t>
      </w:r>
      <w:r w:rsidR="00EB3251" w:rsidRPr="005B2E32">
        <w:rPr>
          <w:rFonts w:ascii="Times New Roman" w:hAnsi="Times New Roman" w:cs="Times New Roman"/>
        </w:rPr>
        <w:t>Hughes</w:t>
      </w:r>
      <w:r w:rsidRPr="005B2E32">
        <w:rPr>
          <w:rFonts w:ascii="Times New Roman" w:hAnsi="Times New Roman" w:cs="Times New Roman"/>
        </w:rPr>
        <w:t xml:space="preserve">, </w:t>
      </w:r>
      <w:r w:rsidR="00EB3251" w:rsidRPr="005B2E32">
        <w:rPr>
          <w:rFonts w:ascii="Times New Roman" w:hAnsi="Times New Roman" w:cs="Times New Roman"/>
        </w:rPr>
        <w:t>K</w:t>
      </w:r>
      <w:r w:rsidRPr="005B2E32">
        <w:rPr>
          <w:rFonts w:ascii="Times New Roman" w:hAnsi="Times New Roman" w:cs="Times New Roman"/>
        </w:rPr>
        <w:t xml:space="preserve">. E. (2004). </w:t>
      </w:r>
      <w:r w:rsidR="00EB3251" w:rsidRPr="005B2E32">
        <w:rPr>
          <w:rFonts w:ascii="Times New Roman" w:hAnsi="Times New Roman" w:cs="Times New Roman"/>
        </w:rPr>
        <w:t xml:space="preserve">The relations </w:t>
      </w:r>
      <w:proofErr w:type="spellStart"/>
      <w:r w:rsidR="00EB3251" w:rsidRPr="005B2E32">
        <w:rPr>
          <w:rFonts w:ascii="Times New Roman" w:hAnsi="Times New Roman" w:cs="Times New Roman"/>
        </w:rPr>
        <w:t>among</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performa</w:t>
      </w:r>
      <w:r w:rsidR="00D0173C" w:rsidRPr="005B2E32">
        <w:rPr>
          <w:rFonts w:ascii="Times New Roman" w:hAnsi="Times New Roman" w:cs="Times New Roman"/>
        </w:rPr>
        <w:t xml:space="preserve">nce, and </w:t>
      </w:r>
      <w:proofErr w:type="spellStart"/>
      <w:r w:rsidR="00D0173C" w:rsidRPr="005B2E32">
        <w:rPr>
          <w:rFonts w:ascii="Times New Roman" w:hAnsi="Times New Roman" w:cs="Times New Roman"/>
        </w:rPr>
        <w:t>economic</w:t>
      </w:r>
      <w:proofErr w:type="spellEnd"/>
      <w:r w:rsidR="00D0173C" w:rsidRPr="005B2E32">
        <w:rPr>
          <w:rFonts w:ascii="Times New Roman" w:hAnsi="Times New Roman" w:cs="Times New Roman"/>
        </w:rPr>
        <w:t xml:space="preserve"> </w:t>
      </w:r>
      <w:proofErr w:type="gramStart"/>
      <w:r w:rsidR="00D0173C" w:rsidRPr="005B2E32">
        <w:rPr>
          <w:rFonts w:ascii="Times New Roman" w:hAnsi="Times New Roman" w:cs="Times New Roman"/>
        </w:rPr>
        <w:t>performance:</w:t>
      </w:r>
      <w:proofErr w:type="gramEnd"/>
      <w:r w:rsidR="00D0173C" w:rsidRPr="005B2E32">
        <w:rPr>
          <w:rFonts w:ascii="Times New Roman" w:hAnsi="Times New Roman" w:cs="Times New Roman"/>
        </w:rPr>
        <w:t xml:space="preserve"> A</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s</w:t>
      </w:r>
      <w:r w:rsidRPr="005B2E32">
        <w:rPr>
          <w:rFonts w:ascii="Times New Roman" w:hAnsi="Times New Roman" w:cs="Times New Roman"/>
        </w:rPr>
        <w:t>imultaneous</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equations</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approach</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Organizations</w:t>
      </w:r>
      <w:proofErr w:type="spellEnd"/>
      <w:r w:rsidR="00EB3251" w:rsidRPr="005B2E32">
        <w:rPr>
          <w:rFonts w:ascii="Times New Roman" w:hAnsi="Times New Roman" w:cs="Times New Roman"/>
          <w:i/>
        </w:rPr>
        <w:t xml:space="preserve"> and Society</w:t>
      </w:r>
      <w:r w:rsidRPr="005B2E32">
        <w:rPr>
          <w:rFonts w:ascii="Times New Roman" w:hAnsi="Times New Roman" w:cs="Times New Roman"/>
        </w:rPr>
        <w:t xml:space="preserve"> </w:t>
      </w:r>
      <w:proofErr w:type="gramStart"/>
      <w:r w:rsidRPr="005B2E32">
        <w:rPr>
          <w:rFonts w:ascii="Times New Roman" w:hAnsi="Times New Roman" w:cs="Times New Roman"/>
        </w:rPr>
        <w:t>29:</w:t>
      </w:r>
      <w:proofErr w:type="gramEnd"/>
      <w:r w:rsidR="00EB3251" w:rsidRPr="005B2E32">
        <w:rPr>
          <w:rFonts w:ascii="Times New Roman" w:hAnsi="Times New Roman" w:cs="Times New Roman"/>
        </w:rPr>
        <w:t xml:space="preserve"> 447–471.</w:t>
      </w:r>
    </w:p>
    <w:p w:rsidR="00EB3251" w:rsidRPr="005B2E32" w:rsidRDefault="00E96995" w:rsidP="005B2E32">
      <w:pPr>
        <w:spacing w:after="0" w:line="480" w:lineRule="auto"/>
        <w:jc w:val="both"/>
        <w:rPr>
          <w:rFonts w:ascii="Times New Roman" w:eastAsia="Times New Roman" w:hAnsi="Times New Roman" w:cs="Times New Roman"/>
          <w:bCs/>
          <w:kern w:val="36"/>
          <w:lang w:eastAsia="fr-FR"/>
        </w:rPr>
      </w:pPr>
      <w:r w:rsidRPr="005B2E32">
        <w:rPr>
          <w:rFonts w:ascii="Times New Roman" w:eastAsia="Times New Roman" w:hAnsi="Times New Roman" w:cs="Times New Roman"/>
          <w:bCs/>
          <w:kern w:val="36"/>
          <w:lang w:eastAsia="fr-FR"/>
        </w:rPr>
        <w:t>Bose, S., Khan, H</w:t>
      </w:r>
      <w:r w:rsidR="009A583E">
        <w:rPr>
          <w:rFonts w:ascii="Times New Roman" w:eastAsia="Times New Roman" w:hAnsi="Times New Roman" w:cs="Times New Roman"/>
          <w:bCs/>
          <w:kern w:val="36"/>
          <w:lang w:eastAsia="fr-FR"/>
        </w:rPr>
        <w:t>. Z., Rashid, A., Islam S. (2018</w:t>
      </w:r>
      <w:r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What</w:t>
      </w:r>
      <w:proofErr w:type="spellEnd"/>
      <w:r w:rsidR="00EB3251" w:rsidRPr="005B2E32">
        <w:rPr>
          <w:rFonts w:ascii="Times New Roman" w:eastAsia="Times New Roman" w:hAnsi="Times New Roman" w:cs="Times New Roman"/>
          <w:bCs/>
          <w:kern w:val="36"/>
          <w:lang w:eastAsia="fr-FR"/>
        </w:rPr>
        <w:t xml:space="preserve"> drives green </w:t>
      </w:r>
      <w:proofErr w:type="spellStart"/>
      <w:r w:rsidR="00EB3251" w:rsidRPr="005B2E32">
        <w:rPr>
          <w:rFonts w:ascii="Times New Roman" w:eastAsia="Times New Roman" w:hAnsi="Times New Roman" w:cs="Times New Roman"/>
          <w:bCs/>
          <w:kern w:val="36"/>
          <w:lang w:eastAsia="fr-FR"/>
        </w:rPr>
        <w:t>banking</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disclosure</w:t>
      </w:r>
      <w:proofErr w:type="spellEnd"/>
      <w:r w:rsidR="00EB3251" w:rsidRPr="005B2E32">
        <w:rPr>
          <w:rFonts w:ascii="Times New Roman" w:eastAsia="Times New Roman" w:hAnsi="Times New Roman" w:cs="Times New Roman"/>
          <w:bCs/>
          <w:kern w:val="36"/>
          <w:lang w:eastAsia="fr-FR"/>
        </w:rPr>
        <w:t xml:space="preserve"> ? An </w:t>
      </w:r>
      <w:proofErr w:type="spellStart"/>
      <w:r w:rsidR="00EB3251" w:rsidRPr="005B2E32">
        <w:rPr>
          <w:rFonts w:ascii="Times New Roman" w:eastAsia="Times New Roman" w:hAnsi="Times New Roman" w:cs="Times New Roman"/>
          <w:bCs/>
          <w:kern w:val="36"/>
          <w:lang w:eastAsia="fr-FR"/>
        </w:rPr>
        <w:t>institutional</w:t>
      </w:r>
      <w:proofErr w:type="spellEnd"/>
      <w:r w:rsidR="00EB3251" w:rsidRPr="005B2E32">
        <w:rPr>
          <w:rFonts w:ascii="Times New Roman" w:eastAsia="Times New Roman" w:hAnsi="Times New Roman" w:cs="Times New Roman"/>
          <w:bCs/>
          <w:kern w:val="36"/>
          <w:lang w:eastAsia="fr-FR"/>
        </w:rPr>
        <w:t xml:space="preserve"> and </w:t>
      </w:r>
      <w:proofErr w:type="spellStart"/>
      <w:r w:rsidR="00EB3251" w:rsidRPr="005B2E32">
        <w:rPr>
          <w:rFonts w:ascii="Times New Roman" w:eastAsia="Times New Roman" w:hAnsi="Times New Roman" w:cs="Times New Roman"/>
          <w:bCs/>
          <w:kern w:val="36"/>
          <w:lang w:eastAsia="fr-FR"/>
        </w:rPr>
        <w:t>co</w:t>
      </w:r>
      <w:r w:rsidRPr="005B2E32">
        <w:rPr>
          <w:rFonts w:ascii="Times New Roman" w:eastAsia="Times New Roman" w:hAnsi="Times New Roman" w:cs="Times New Roman"/>
          <w:bCs/>
          <w:kern w:val="36"/>
          <w:lang w:eastAsia="fr-FR"/>
        </w:rPr>
        <w:t>rporate</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governance</w:t>
      </w:r>
      <w:proofErr w:type="spellEnd"/>
      <w:r w:rsidRPr="005B2E32">
        <w:rPr>
          <w:rFonts w:ascii="Times New Roman" w:eastAsia="Times New Roman" w:hAnsi="Times New Roman" w:cs="Times New Roman"/>
          <w:bCs/>
          <w:kern w:val="36"/>
          <w:lang w:eastAsia="fr-FR"/>
        </w:rPr>
        <w:t xml:space="preserve"> perspective.</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Asia Pacific Journal of Management</w:t>
      </w:r>
      <w:r w:rsidRPr="005B2E32">
        <w:rPr>
          <w:rFonts w:ascii="Times New Roman" w:eastAsia="Times New Roman" w:hAnsi="Times New Roman" w:cs="Times New Roman"/>
          <w:bCs/>
          <w:kern w:val="36"/>
          <w:lang w:eastAsia="fr-FR"/>
        </w:rPr>
        <w:t xml:space="preserve"> </w:t>
      </w:r>
      <w:proofErr w:type="gramStart"/>
      <w:r w:rsidR="00EB3251" w:rsidRPr="005B2E32">
        <w:rPr>
          <w:rFonts w:ascii="Times New Roman" w:eastAsia="Times New Roman" w:hAnsi="Times New Roman" w:cs="Times New Roman"/>
          <w:bCs/>
          <w:kern w:val="36"/>
          <w:lang w:eastAsia="fr-FR"/>
        </w:rPr>
        <w:t>35</w:t>
      </w:r>
      <w:r w:rsidRPr="005B2E32">
        <w:rPr>
          <w:rFonts w:ascii="Times New Roman" w:eastAsia="Times New Roman" w:hAnsi="Times New Roman" w:cs="Times New Roman"/>
          <w:bCs/>
          <w:kern w:val="36"/>
          <w:lang w:eastAsia="fr-FR"/>
        </w:rPr>
        <w:t>:</w:t>
      </w:r>
      <w:proofErr w:type="gramEnd"/>
      <w:r w:rsidR="00EB3251" w:rsidRPr="005B2E32">
        <w:rPr>
          <w:rFonts w:ascii="Times New Roman" w:eastAsia="Times New Roman" w:hAnsi="Times New Roman" w:cs="Times New Roman"/>
          <w:bCs/>
          <w:kern w:val="36"/>
          <w:lang w:eastAsia="fr-FR"/>
        </w:rPr>
        <w:t xml:space="preserve"> 501-527.</w:t>
      </w:r>
    </w:p>
    <w:p w:rsidR="00EB3251" w:rsidRPr="005B2E32" w:rsidRDefault="00E96995"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Boura</w:t>
      </w:r>
      <w:proofErr w:type="spellEnd"/>
      <w:r w:rsidRPr="005B2E32">
        <w:rPr>
          <w:rFonts w:ascii="Times New Roman" w:hAnsi="Times New Roman" w:cs="Times New Roman"/>
        </w:rPr>
        <w:t xml:space="preserve">, M., </w:t>
      </w:r>
      <w:proofErr w:type="spellStart"/>
      <w:r w:rsidRPr="005B2E32">
        <w:rPr>
          <w:rFonts w:ascii="Times New Roman" w:hAnsi="Times New Roman" w:cs="Times New Roman"/>
        </w:rPr>
        <w:t>Tsouknidis</w:t>
      </w:r>
      <w:proofErr w:type="spellEnd"/>
      <w:r w:rsidRPr="005B2E32">
        <w:rPr>
          <w:rFonts w:ascii="Times New Roman" w:hAnsi="Times New Roman" w:cs="Times New Roman"/>
        </w:rPr>
        <w:t xml:space="preserve">, D. A., </w:t>
      </w:r>
      <w:proofErr w:type="spellStart"/>
      <w:r w:rsidRPr="005B2E32">
        <w:rPr>
          <w:rFonts w:ascii="Times New Roman" w:hAnsi="Times New Roman" w:cs="Times New Roman"/>
        </w:rPr>
        <w:t>Lioukas</w:t>
      </w:r>
      <w:proofErr w:type="spellEnd"/>
      <w:r w:rsidRPr="005B2E32">
        <w:rPr>
          <w:rFonts w:ascii="Times New Roman" w:hAnsi="Times New Roman" w:cs="Times New Roman"/>
        </w:rPr>
        <w:t xml:space="preserve">, S. (2020). </w:t>
      </w:r>
      <w:r w:rsidR="00EB3251" w:rsidRPr="005B2E32">
        <w:rPr>
          <w:rFonts w:ascii="Times New Roman" w:hAnsi="Times New Roman" w:cs="Times New Roman"/>
        </w:rPr>
        <w:t xml:space="preserve">The </w:t>
      </w:r>
      <w:proofErr w:type="spellStart"/>
      <w:r w:rsidR="00EB3251" w:rsidRPr="005B2E32">
        <w:rPr>
          <w:rFonts w:ascii="Times New Roman" w:hAnsi="Times New Roman" w:cs="Times New Roman"/>
        </w:rPr>
        <w:t>role</w:t>
      </w:r>
      <w:proofErr w:type="spellEnd"/>
      <w:r w:rsidR="00EB3251" w:rsidRPr="005B2E32">
        <w:rPr>
          <w:rFonts w:ascii="Times New Roman" w:hAnsi="Times New Roman" w:cs="Times New Roman"/>
        </w:rPr>
        <w:t xml:space="preserve"> of pro-social orientation and national </w:t>
      </w:r>
      <w:proofErr w:type="spellStart"/>
      <w:r w:rsidR="00EB3251" w:rsidRPr="005B2E32">
        <w:rPr>
          <w:rFonts w:ascii="Times New Roman" w:hAnsi="Times New Roman" w:cs="Times New Roman"/>
        </w:rPr>
        <w:t>context</w:t>
      </w:r>
      <w:proofErr w:type="spellEnd"/>
      <w:r w:rsidR="00EB3251" w:rsidRPr="005B2E32">
        <w:rPr>
          <w:rFonts w:ascii="Times New Roman" w:hAnsi="Times New Roman" w:cs="Times New Roman"/>
        </w:rPr>
        <w:t xml:space="preserve"> in </w:t>
      </w:r>
      <w:proofErr w:type="spellStart"/>
      <w:r w:rsidR="00EB3251" w:rsidRPr="005B2E32">
        <w:rPr>
          <w:rFonts w:ascii="Times New Roman" w:hAnsi="Times New Roman" w:cs="Times New Roman"/>
        </w:rPr>
        <w:t>corpo</w:t>
      </w:r>
      <w:r w:rsidRPr="005B2E32">
        <w:rPr>
          <w:rFonts w:ascii="Times New Roman" w:hAnsi="Times New Roman" w:cs="Times New Roman"/>
        </w:rPr>
        <w:t>rate</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environmental</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disclosure</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European</w:t>
      </w:r>
      <w:proofErr w:type="spellEnd"/>
      <w:r w:rsidR="00EB3251" w:rsidRPr="005B2E32">
        <w:rPr>
          <w:rFonts w:ascii="Times New Roman" w:hAnsi="Times New Roman" w:cs="Times New Roman"/>
          <w:i/>
        </w:rPr>
        <w:t xml:space="preserve"> Management </w:t>
      </w:r>
      <w:proofErr w:type="spellStart"/>
      <w:r w:rsidR="00EB3251" w:rsidRPr="005B2E32">
        <w:rPr>
          <w:rFonts w:ascii="Times New Roman" w:hAnsi="Times New Roman" w:cs="Times New Roman"/>
          <w:i/>
        </w:rPr>
        <w:t>Review</w:t>
      </w:r>
      <w:proofErr w:type="spellEnd"/>
      <w:r w:rsidRPr="005B2E32">
        <w:rPr>
          <w:rFonts w:ascii="Times New Roman" w:hAnsi="Times New Roman" w:cs="Times New Roman"/>
        </w:rPr>
        <w:t xml:space="preserve"> </w:t>
      </w:r>
      <w:proofErr w:type="gramStart"/>
      <w:r w:rsidRPr="005B2E32">
        <w:rPr>
          <w:rFonts w:ascii="Times New Roman" w:hAnsi="Times New Roman" w:cs="Times New Roman"/>
        </w:rPr>
        <w:t>17:</w:t>
      </w:r>
      <w:proofErr w:type="gramEnd"/>
      <w:r w:rsidRPr="005B2E32">
        <w:rPr>
          <w:rFonts w:ascii="Times New Roman" w:hAnsi="Times New Roman" w:cs="Times New Roman"/>
        </w:rPr>
        <w:t xml:space="preserve"> </w:t>
      </w:r>
      <w:r w:rsidR="00EB3251" w:rsidRPr="005B2E32">
        <w:rPr>
          <w:rFonts w:ascii="Times New Roman" w:hAnsi="Times New Roman" w:cs="Times New Roman"/>
        </w:rPr>
        <w:t>1027-1040.</w:t>
      </w:r>
    </w:p>
    <w:p w:rsidR="00EB3251" w:rsidRPr="005B2E32" w:rsidRDefault="00E96995"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Brammer</w:t>
      </w:r>
      <w:proofErr w:type="spellEnd"/>
      <w:r w:rsidRPr="005B2E32">
        <w:rPr>
          <w:rFonts w:ascii="Times New Roman" w:hAnsi="Times New Roman" w:cs="Times New Roman"/>
        </w:rPr>
        <w:t xml:space="preserve">, S., Jackson, G., </w:t>
      </w:r>
      <w:proofErr w:type="spellStart"/>
      <w:r w:rsidRPr="005B2E32">
        <w:rPr>
          <w:rFonts w:ascii="Times New Roman" w:hAnsi="Times New Roman" w:cs="Times New Roman"/>
        </w:rPr>
        <w:t>Matten</w:t>
      </w:r>
      <w:proofErr w:type="spellEnd"/>
      <w:r w:rsidRPr="005B2E32">
        <w:rPr>
          <w:rFonts w:ascii="Times New Roman" w:hAnsi="Times New Roman" w:cs="Times New Roman"/>
        </w:rPr>
        <w:t xml:space="preserve">, D. (2012). </w:t>
      </w:r>
      <w:proofErr w:type="spellStart"/>
      <w:r w:rsidR="00EB3251" w:rsidRPr="005B2E32">
        <w:rPr>
          <w:rFonts w:ascii="Times New Roman" w:hAnsi="Times New Roman" w:cs="Times New Roman"/>
        </w:rPr>
        <w:t>Corporate</w:t>
      </w:r>
      <w:proofErr w:type="spellEnd"/>
      <w:r w:rsidR="00EB3251" w:rsidRPr="005B2E32">
        <w:rPr>
          <w:rFonts w:ascii="Times New Roman" w:hAnsi="Times New Roman" w:cs="Times New Roman"/>
        </w:rPr>
        <w:t xml:space="preserve"> social </w:t>
      </w:r>
      <w:proofErr w:type="spellStart"/>
      <w:r w:rsidR="00EB3251" w:rsidRPr="005B2E32">
        <w:rPr>
          <w:rFonts w:ascii="Times New Roman" w:hAnsi="Times New Roman" w:cs="Times New Roman"/>
        </w:rPr>
        <w:t>responsibility</w:t>
      </w:r>
      <w:proofErr w:type="spellEnd"/>
      <w:r w:rsidR="00EB3251" w:rsidRPr="005B2E32">
        <w:rPr>
          <w:rFonts w:ascii="Times New Roman" w:hAnsi="Times New Roman" w:cs="Times New Roman"/>
        </w:rPr>
        <w:t xml:space="preserve"> and </w:t>
      </w:r>
      <w:proofErr w:type="spellStart"/>
      <w:r w:rsidR="00EB3251" w:rsidRPr="005B2E32">
        <w:rPr>
          <w:rFonts w:ascii="Times New Roman" w:hAnsi="Times New Roman" w:cs="Times New Roman"/>
        </w:rPr>
        <w:t>institutional</w:t>
      </w:r>
      <w:proofErr w:type="spellEnd"/>
      <w:r w:rsidR="00EB3251" w:rsidRPr="005B2E32">
        <w:rPr>
          <w:rFonts w:ascii="Times New Roman" w:hAnsi="Times New Roman" w:cs="Times New Roman"/>
        </w:rPr>
        <w:t xml:space="preserve"> </w:t>
      </w:r>
      <w:proofErr w:type="spellStart"/>
      <w:proofErr w:type="gramStart"/>
      <w:r w:rsidR="00EB3251" w:rsidRPr="005B2E32">
        <w:rPr>
          <w:rFonts w:ascii="Times New Roman" w:hAnsi="Times New Roman" w:cs="Times New Roman"/>
        </w:rPr>
        <w:t>theory</w:t>
      </w:r>
      <w:proofErr w:type="spellEnd"/>
      <w:r w:rsidR="00EB3251" w:rsidRPr="005B2E32">
        <w:rPr>
          <w:rFonts w:ascii="Times New Roman" w:hAnsi="Times New Roman" w:cs="Times New Roman"/>
        </w:rPr>
        <w:t>:</w:t>
      </w:r>
      <w:proofErr w:type="gramEnd"/>
      <w:r w:rsidR="00EB3251" w:rsidRPr="005B2E32">
        <w:rPr>
          <w:rFonts w:ascii="Times New Roman" w:hAnsi="Times New Roman" w:cs="Times New Roman"/>
        </w:rPr>
        <w:t xml:space="preserve"> New persp</w:t>
      </w:r>
      <w:r w:rsidRPr="005B2E32">
        <w:rPr>
          <w:rFonts w:ascii="Times New Roman" w:hAnsi="Times New Roman" w:cs="Times New Roman"/>
        </w:rPr>
        <w:t xml:space="preserve">ectives on </w:t>
      </w:r>
      <w:proofErr w:type="spellStart"/>
      <w:r w:rsidRPr="005B2E32">
        <w:rPr>
          <w:rFonts w:ascii="Times New Roman" w:hAnsi="Times New Roman" w:cs="Times New Roman"/>
        </w:rPr>
        <w:t>private</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governance</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Socio-Economic</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Review</w:t>
      </w:r>
      <w:proofErr w:type="spellEnd"/>
      <w:r w:rsidRPr="005B2E32">
        <w:rPr>
          <w:rFonts w:ascii="Times New Roman" w:hAnsi="Times New Roman" w:cs="Times New Roman"/>
        </w:rPr>
        <w:t xml:space="preserve"> </w:t>
      </w:r>
      <w:proofErr w:type="gramStart"/>
      <w:r w:rsidRPr="005B2E32">
        <w:rPr>
          <w:rFonts w:ascii="Times New Roman" w:hAnsi="Times New Roman" w:cs="Times New Roman"/>
        </w:rPr>
        <w:t>10:</w:t>
      </w:r>
      <w:proofErr w:type="gramEnd"/>
      <w:r w:rsidR="00EB3251" w:rsidRPr="005B2E32">
        <w:rPr>
          <w:rFonts w:ascii="Times New Roman" w:hAnsi="Times New Roman" w:cs="Times New Roman"/>
        </w:rPr>
        <w:t xml:space="preserve"> 3-28. </w:t>
      </w:r>
    </w:p>
    <w:p w:rsidR="00EB3251" w:rsidRPr="005B2E32" w:rsidRDefault="00E96995"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lastRenderedPageBreak/>
        <w:t>Bui</w:t>
      </w:r>
      <w:proofErr w:type="spellEnd"/>
      <w:r w:rsidRPr="005B2E32">
        <w:rPr>
          <w:rFonts w:ascii="Times New Roman" w:eastAsia="Times New Roman" w:hAnsi="Times New Roman" w:cs="Times New Roman"/>
          <w:bCs/>
          <w:kern w:val="36"/>
          <w:lang w:eastAsia="fr-FR"/>
        </w:rPr>
        <w:t xml:space="preserve">, B. </w:t>
      </w:r>
      <w:proofErr w:type="spellStart"/>
      <w:r w:rsidRPr="005B2E32">
        <w:rPr>
          <w:rFonts w:ascii="Times New Roman" w:eastAsia="Times New Roman" w:hAnsi="Times New Roman" w:cs="Times New Roman"/>
          <w:bCs/>
          <w:kern w:val="36"/>
          <w:lang w:eastAsia="fr-FR"/>
        </w:rPr>
        <w:t>Houqe</w:t>
      </w:r>
      <w:proofErr w:type="spellEnd"/>
      <w:r w:rsidRPr="005B2E32">
        <w:rPr>
          <w:rFonts w:ascii="Times New Roman" w:eastAsia="Times New Roman" w:hAnsi="Times New Roman" w:cs="Times New Roman"/>
          <w:bCs/>
          <w:kern w:val="36"/>
          <w:lang w:eastAsia="fr-FR"/>
        </w:rPr>
        <w:t xml:space="preserve">, M. N., </w:t>
      </w:r>
      <w:proofErr w:type="spellStart"/>
      <w:r w:rsidRPr="005B2E32">
        <w:rPr>
          <w:rFonts w:ascii="Times New Roman" w:eastAsia="Times New Roman" w:hAnsi="Times New Roman" w:cs="Times New Roman"/>
          <w:bCs/>
          <w:kern w:val="36"/>
          <w:lang w:eastAsia="fr-FR"/>
        </w:rPr>
        <w:t>Zaman</w:t>
      </w:r>
      <w:proofErr w:type="spellEnd"/>
      <w:r w:rsidRPr="005B2E32">
        <w:rPr>
          <w:rFonts w:ascii="Times New Roman" w:eastAsia="Times New Roman" w:hAnsi="Times New Roman" w:cs="Times New Roman"/>
          <w:bCs/>
          <w:kern w:val="36"/>
          <w:lang w:eastAsia="fr-FR"/>
        </w:rPr>
        <w:t xml:space="preserve">, M. (2020). </w:t>
      </w:r>
      <w:proofErr w:type="spellStart"/>
      <w:r w:rsidR="00EB3251" w:rsidRPr="005B2E32">
        <w:rPr>
          <w:rFonts w:ascii="Times New Roman" w:eastAsia="Times New Roman" w:hAnsi="Times New Roman" w:cs="Times New Roman"/>
          <w:bCs/>
          <w:kern w:val="36"/>
          <w:lang w:eastAsia="fr-FR"/>
        </w:rPr>
        <w:t>Climate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governance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effects</w:t>
      </w:r>
      <w:proofErr w:type="spellEnd"/>
      <w:r w:rsidR="00EB3251" w:rsidRPr="005B2E32">
        <w:rPr>
          <w:rFonts w:ascii="Times New Roman" w:eastAsia="Times New Roman" w:hAnsi="Times New Roman" w:cs="Times New Roman"/>
          <w:bCs/>
          <w:kern w:val="36"/>
          <w:lang w:eastAsia="fr-FR"/>
        </w:rPr>
        <w:t xml:space="preserve"> on </w:t>
      </w:r>
      <w:proofErr w:type="spellStart"/>
      <w:r w:rsidR="00EB3251" w:rsidRPr="005B2E32">
        <w:rPr>
          <w:rFonts w:ascii="Times New Roman" w:eastAsia="Times New Roman" w:hAnsi="Times New Roman" w:cs="Times New Roman"/>
          <w:bCs/>
          <w:kern w:val="36"/>
          <w:lang w:eastAsia="fr-FR"/>
        </w:rPr>
        <w:t>carb</w:t>
      </w:r>
      <w:r w:rsidRPr="005B2E32">
        <w:rPr>
          <w:rFonts w:ascii="Times New Roman" w:eastAsia="Times New Roman" w:hAnsi="Times New Roman" w:cs="Times New Roman"/>
          <w:bCs/>
          <w:kern w:val="36"/>
          <w:lang w:eastAsia="fr-FR"/>
        </w:rPr>
        <w:t>on</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disclosure</w:t>
      </w:r>
      <w:proofErr w:type="spellEnd"/>
      <w:r w:rsidRPr="005B2E32">
        <w:rPr>
          <w:rFonts w:ascii="Times New Roman" w:eastAsia="Times New Roman" w:hAnsi="Times New Roman" w:cs="Times New Roman"/>
          <w:bCs/>
          <w:kern w:val="36"/>
          <w:lang w:eastAsia="fr-FR"/>
        </w:rPr>
        <w:t xml:space="preserve"> and performance.</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 xml:space="preserve">The British </w:t>
      </w:r>
      <w:proofErr w:type="spellStart"/>
      <w:r w:rsidR="00EB3251" w:rsidRPr="005B2E32">
        <w:rPr>
          <w:rFonts w:ascii="Times New Roman" w:eastAsia="Times New Roman" w:hAnsi="Times New Roman" w:cs="Times New Roman"/>
          <w:bCs/>
          <w:i/>
          <w:kern w:val="36"/>
          <w:lang w:eastAsia="fr-FR"/>
        </w:rPr>
        <w:t>Accounting</w:t>
      </w:r>
      <w:proofErr w:type="spellEnd"/>
      <w:r w:rsidR="00EB3251" w:rsidRPr="005B2E32">
        <w:rPr>
          <w:rFonts w:ascii="Times New Roman" w:eastAsia="Times New Roman" w:hAnsi="Times New Roman" w:cs="Times New Roman"/>
          <w:bCs/>
          <w:i/>
          <w:kern w:val="36"/>
          <w:lang w:eastAsia="fr-FR"/>
        </w:rPr>
        <w:t xml:space="preserve"> </w:t>
      </w:r>
      <w:proofErr w:type="spellStart"/>
      <w:r w:rsidR="00EB3251" w:rsidRPr="005B2E32">
        <w:rPr>
          <w:rFonts w:ascii="Times New Roman" w:eastAsia="Times New Roman" w:hAnsi="Times New Roman" w:cs="Times New Roman"/>
          <w:bCs/>
          <w:i/>
          <w:kern w:val="36"/>
          <w:lang w:eastAsia="fr-FR"/>
        </w:rPr>
        <w:t>Review</w:t>
      </w:r>
      <w:proofErr w:type="spellEnd"/>
      <w:r w:rsidRPr="005B2E32">
        <w:rPr>
          <w:rFonts w:ascii="Times New Roman" w:eastAsia="Times New Roman" w:hAnsi="Times New Roman" w:cs="Times New Roman"/>
          <w:bCs/>
          <w:kern w:val="36"/>
          <w:lang w:eastAsia="fr-FR"/>
        </w:rPr>
        <w:t xml:space="preserve"> 52 (</w:t>
      </w:r>
      <w:r w:rsidR="00EB3251" w:rsidRPr="005B2E32">
        <w:rPr>
          <w:rFonts w:ascii="Times New Roman" w:eastAsia="Times New Roman" w:hAnsi="Times New Roman" w:cs="Times New Roman"/>
          <w:bCs/>
          <w:kern w:val="36"/>
          <w:lang w:eastAsia="fr-FR"/>
        </w:rPr>
        <w:t>2</w:t>
      </w:r>
      <w:proofErr w:type="gramStart"/>
      <w:r w:rsidRPr="005B2E32">
        <w:rPr>
          <w:rFonts w:ascii="Times New Roman" w:eastAsia="Times New Roman" w:hAnsi="Times New Roman" w:cs="Times New Roman"/>
          <w:bCs/>
          <w:kern w:val="36"/>
          <w:lang w:eastAsia="fr-FR"/>
        </w:rPr>
        <w:t>):</w:t>
      </w:r>
      <w:proofErr w:type="gramEnd"/>
      <w:r w:rsidR="00EB3251" w:rsidRPr="005B2E32">
        <w:rPr>
          <w:rFonts w:ascii="Times New Roman" w:eastAsia="Times New Roman" w:hAnsi="Times New Roman" w:cs="Times New Roman"/>
          <w:bCs/>
          <w:kern w:val="36"/>
          <w:lang w:eastAsia="fr-FR"/>
        </w:rPr>
        <w:t xml:space="preserve"> 1-16.</w:t>
      </w:r>
    </w:p>
    <w:p w:rsidR="00EB3251" w:rsidRPr="005B2E32" w:rsidRDefault="003F3EFA"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Busch</w:t>
      </w:r>
      <w:proofErr w:type="spellEnd"/>
      <w:r w:rsidRPr="005B2E32">
        <w:rPr>
          <w:rFonts w:ascii="Times New Roman" w:eastAsia="Times New Roman" w:hAnsi="Times New Roman" w:cs="Times New Roman"/>
          <w:bCs/>
          <w:kern w:val="36"/>
          <w:lang w:eastAsia="fr-FR"/>
        </w:rPr>
        <w:t xml:space="preserve">, T., </w:t>
      </w:r>
      <w:proofErr w:type="spellStart"/>
      <w:r w:rsidRPr="005B2E32">
        <w:rPr>
          <w:rFonts w:ascii="Times New Roman" w:eastAsia="Times New Roman" w:hAnsi="Times New Roman" w:cs="Times New Roman"/>
          <w:bCs/>
          <w:kern w:val="36"/>
          <w:lang w:eastAsia="fr-FR"/>
        </w:rPr>
        <w:t>Lewandowski</w:t>
      </w:r>
      <w:proofErr w:type="spellEnd"/>
      <w:r w:rsidRPr="005B2E32">
        <w:rPr>
          <w:rFonts w:ascii="Times New Roman" w:eastAsia="Times New Roman" w:hAnsi="Times New Roman" w:cs="Times New Roman"/>
          <w:bCs/>
          <w:kern w:val="36"/>
          <w:lang w:eastAsia="fr-FR"/>
        </w:rPr>
        <w:t xml:space="preserve">, S. (2018). </w:t>
      </w:r>
      <w:proofErr w:type="spellStart"/>
      <w:r w:rsidR="00EB3251" w:rsidRPr="005B2E32">
        <w:rPr>
          <w:rFonts w:ascii="Times New Roman" w:eastAsia="Times New Roman" w:hAnsi="Times New Roman" w:cs="Times New Roman"/>
          <w:bCs/>
          <w:kern w:val="36"/>
          <w:lang w:eastAsia="fr-FR"/>
        </w:rPr>
        <w:t>Corporate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carbon</w:t>
      </w:r>
      <w:proofErr w:type="spellEnd"/>
      <w:r w:rsidR="00EB3251" w:rsidRPr="005B2E32">
        <w:rPr>
          <w:rFonts w:ascii="Times New Roman" w:eastAsia="Times New Roman" w:hAnsi="Times New Roman" w:cs="Times New Roman"/>
          <w:bCs/>
          <w:kern w:val="36"/>
          <w:lang w:eastAsia="fr-FR"/>
        </w:rPr>
        <w:t xml:space="preserve"> and </w:t>
      </w:r>
      <w:proofErr w:type="spellStart"/>
      <w:r w:rsidR="00EB3251" w:rsidRPr="005B2E32">
        <w:rPr>
          <w:rFonts w:ascii="Times New Roman" w:eastAsia="Times New Roman" w:hAnsi="Times New Roman" w:cs="Times New Roman"/>
          <w:bCs/>
          <w:kern w:val="36"/>
          <w:lang w:eastAsia="fr-FR"/>
        </w:rPr>
        <w:t>financial</w:t>
      </w:r>
      <w:proofErr w:type="spellEnd"/>
      <w:r w:rsidRPr="005B2E32">
        <w:rPr>
          <w:rFonts w:ascii="Times New Roman" w:eastAsia="Times New Roman" w:hAnsi="Times New Roman" w:cs="Times New Roman"/>
          <w:bCs/>
          <w:kern w:val="36"/>
          <w:lang w:eastAsia="fr-FR"/>
        </w:rPr>
        <w:t xml:space="preserve"> </w:t>
      </w:r>
      <w:proofErr w:type="gramStart"/>
      <w:r w:rsidRPr="005B2E32">
        <w:rPr>
          <w:rFonts w:ascii="Times New Roman" w:eastAsia="Times New Roman" w:hAnsi="Times New Roman" w:cs="Times New Roman"/>
          <w:bCs/>
          <w:kern w:val="36"/>
          <w:lang w:eastAsia="fr-FR"/>
        </w:rPr>
        <w:t>performance:</w:t>
      </w:r>
      <w:proofErr w:type="gramEnd"/>
      <w:r w:rsidRPr="005B2E32">
        <w:rPr>
          <w:rFonts w:ascii="Times New Roman" w:eastAsia="Times New Roman" w:hAnsi="Times New Roman" w:cs="Times New Roman"/>
          <w:bCs/>
          <w:kern w:val="36"/>
          <w:lang w:eastAsia="fr-FR"/>
        </w:rPr>
        <w:t xml:space="preserve"> A </w:t>
      </w:r>
      <w:proofErr w:type="spellStart"/>
      <w:r w:rsidRPr="005B2E32">
        <w:rPr>
          <w:rFonts w:ascii="Times New Roman" w:eastAsia="Times New Roman" w:hAnsi="Times New Roman" w:cs="Times New Roman"/>
          <w:bCs/>
          <w:kern w:val="36"/>
          <w:lang w:eastAsia="fr-FR"/>
        </w:rPr>
        <w:t>meta-analysis</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 xml:space="preserve">Journal of </w:t>
      </w:r>
      <w:proofErr w:type="spellStart"/>
      <w:r w:rsidR="00EB3251" w:rsidRPr="005B2E32">
        <w:rPr>
          <w:rFonts w:ascii="Times New Roman" w:eastAsia="Times New Roman" w:hAnsi="Times New Roman" w:cs="Times New Roman"/>
          <w:bCs/>
          <w:i/>
          <w:kern w:val="36"/>
          <w:lang w:eastAsia="fr-FR"/>
        </w:rPr>
        <w:t>Industrial</w:t>
      </w:r>
      <w:proofErr w:type="spellEnd"/>
      <w:r w:rsidR="00EB3251" w:rsidRPr="005B2E32">
        <w:rPr>
          <w:rFonts w:ascii="Times New Roman" w:eastAsia="Times New Roman" w:hAnsi="Times New Roman" w:cs="Times New Roman"/>
          <w:bCs/>
          <w:i/>
          <w:kern w:val="36"/>
          <w:lang w:eastAsia="fr-FR"/>
        </w:rPr>
        <w:t xml:space="preserve"> </w:t>
      </w:r>
      <w:proofErr w:type="spellStart"/>
      <w:r w:rsidR="00EB3251" w:rsidRPr="005B2E32">
        <w:rPr>
          <w:rFonts w:ascii="Times New Roman" w:eastAsia="Times New Roman" w:hAnsi="Times New Roman" w:cs="Times New Roman"/>
          <w:bCs/>
          <w:i/>
          <w:kern w:val="36"/>
          <w:lang w:eastAsia="fr-FR"/>
        </w:rPr>
        <w:t>Ecology</w:t>
      </w:r>
      <w:proofErr w:type="spellEnd"/>
      <w:r w:rsidRPr="005B2E32">
        <w:rPr>
          <w:rFonts w:ascii="Times New Roman" w:eastAsia="Times New Roman" w:hAnsi="Times New Roman" w:cs="Times New Roman"/>
          <w:bCs/>
          <w:kern w:val="36"/>
          <w:lang w:eastAsia="fr-FR"/>
        </w:rPr>
        <w:t xml:space="preserve"> 22 (</w:t>
      </w:r>
      <w:r w:rsidR="00EB3251" w:rsidRPr="005B2E32">
        <w:rPr>
          <w:rFonts w:ascii="Times New Roman" w:eastAsia="Times New Roman" w:hAnsi="Times New Roman" w:cs="Times New Roman"/>
          <w:bCs/>
          <w:kern w:val="36"/>
          <w:lang w:eastAsia="fr-FR"/>
        </w:rPr>
        <w:t>4</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745-759.</w:t>
      </w:r>
    </w:p>
    <w:p w:rsidR="00EB3251" w:rsidRPr="005B2E32" w:rsidRDefault="003F3EFA"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Caby</w:t>
      </w:r>
      <w:proofErr w:type="spellEnd"/>
      <w:r w:rsidRPr="005B2E32">
        <w:rPr>
          <w:rFonts w:ascii="Times New Roman" w:eastAsia="Times New Roman" w:hAnsi="Times New Roman" w:cs="Times New Roman"/>
          <w:bCs/>
          <w:kern w:val="36"/>
          <w:lang w:eastAsia="fr-FR"/>
        </w:rPr>
        <w:t xml:space="preserve">, J., </w:t>
      </w:r>
      <w:proofErr w:type="spellStart"/>
      <w:r w:rsidRPr="005B2E32">
        <w:rPr>
          <w:rFonts w:ascii="Times New Roman" w:eastAsia="Times New Roman" w:hAnsi="Times New Roman" w:cs="Times New Roman"/>
          <w:bCs/>
          <w:kern w:val="36"/>
          <w:lang w:eastAsia="fr-FR"/>
        </w:rPr>
        <w:t>Ziane</w:t>
      </w:r>
      <w:proofErr w:type="spellEnd"/>
      <w:r w:rsidRPr="005B2E32">
        <w:rPr>
          <w:rFonts w:ascii="Times New Roman" w:eastAsia="Times New Roman" w:hAnsi="Times New Roman" w:cs="Times New Roman"/>
          <w:bCs/>
          <w:kern w:val="36"/>
          <w:lang w:eastAsia="fr-FR"/>
        </w:rPr>
        <w:t xml:space="preserve">, Y., Lamarque, E. (2020). </w:t>
      </w:r>
      <w:r w:rsidR="00EB3251" w:rsidRPr="005B2E32">
        <w:rPr>
          <w:rFonts w:ascii="Times New Roman" w:eastAsia="Times New Roman" w:hAnsi="Times New Roman" w:cs="Times New Roman"/>
          <w:bCs/>
          <w:kern w:val="36"/>
          <w:lang w:eastAsia="fr-FR"/>
        </w:rPr>
        <w:t xml:space="preserve">The </w:t>
      </w:r>
      <w:proofErr w:type="spellStart"/>
      <w:r w:rsidR="00EB3251" w:rsidRPr="005B2E32">
        <w:rPr>
          <w:rFonts w:ascii="Times New Roman" w:eastAsia="Times New Roman" w:hAnsi="Times New Roman" w:cs="Times New Roman"/>
          <w:bCs/>
          <w:kern w:val="36"/>
          <w:lang w:eastAsia="fr-FR"/>
        </w:rPr>
        <w:t>determinants</w:t>
      </w:r>
      <w:proofErr w:type="spellEnd"/>
      <w:r w:rsidR="00EB3251" w:rsidRPr="005B2E32">
        <w:rPr>
          <w:rFonts w:ascii="Times New Roman" w:eastAsia="Times New Roman" w:hAnsi="Times New Roman" w:cs="Times New Roman"/>
          <w:bCs/>
          <w:kern w:val="36"/>
          <w:lang w:eastAsia="fr-FR"/>
        </w:rPr>
        <w:t xml:space="preserve"> of </w:t>
      </w:r>
      <w:proofErr w:type="spellStart"/>
      <w:r w:rsidR="00EB3251" w:rsidRPr="005B2E32">
        <w:rPr>
          <w:rFonts w:ascii="Times New Roman" w:eastAsia="Times New Roman" w:hAnsi="Times New Roman" w:cs="Times New Roman"/>
          <w:bCs/>
          <w:kern w:val="36"/>
          <w:lang w:eastAsia="fr-FR"/>
        </w:rPr>
        <w:t>voluntary</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climate</w:t>
      </w:r>
      <w:proofErr w:type="spellEnd"/>
      <w:r w:rsidR="00EB3251" w:rsidRPr="005B2E32">
        <w:rPr>
          <w:rFonts w:ascii="Times New Roman" w:eastAsia="Times New Roman" w:hAnsi="Times New Roman" w:cs="Times New Roman"/>
          <w:bCs/>
          <w:kern w:val="36"/>
          <w:lang w:eastAsia="fr-FR"/>
        </w:rPr>
        <w:t xml:space="preserve"> change </w:t>
      </w:r>
      <w:proofErr w:type="spellStart"/>
      <w:r w:rsidR="00EB3251" w:rsidRPr="005B2E32">
        <w:rPr>
          <w:rFonts w:ascii="Times New Roman" w:eastAsia="Times New Roman" w:hAnsi="Times New Roman" w:cs="Times New Roman"/>
          <w:bCs/>
          <w:kern w:val="36"/>
          <w:lang w:eastAsia="fr-FR"/>
        </w:rPr>
        <w:t>disclosure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commitment</w:t>
      </w:r>
      <w:proofErr w:type="spellEnd"/>
      <w:r w:rsidR="00EB3251" w:rsidRPr="005B2E32">
        <w:rPr>
          <w:rFonts w:ascii="Times New Roman" w:eastAsia="Times New Roman" w:hAnsi="Times New Roman" w:cs="Times New Roman"/>
          <w:bCs/>
          <w:kern w:val="36"/>
          <w:lang w:eastAsia="fr-FR"/>
        </w:rPr>
        <w:t xml:space="preserve"> and </w:t>
      </w:r>
      <w:proofErr w:type="spellStart"/>
      <w:r w:rsidR="00EB3251" w:rsidRPr="005B2E32">
        <w:rPr>
          <w:rFonts w:ascii="Times New Roman" w:eastAsia="Times New Roman" w:hAnsi="Times New Roman" w:cs="Times New Roman"/>
          <w:bCs/>
          <w:kern w:val="36"/>
          <w:lang w:eastAsia="fr-FR"/>
        </w:rPr>
        <w:t>quality</w:t>
      </w:r>
      <w:proofErr w:type="spellEnd"/>
      <w:r w:rsidR="00EB3251" w:rsidRPr="005B2E32">
        <w:rPr>
          <w:rFonts w:ascii="Times New Roman" w:eastAsia="Times New Roman" w:hAnsi="Times New Roman" w:cs="Times New Roman"/>
          <w:bCs/>
          <w:kern w:val="36"/>
          <w:lang w:eastAsia="fr-FR"/>
        </w:rPr>
        <w:t xml:space="preserve"> in the </w:t>
      </w:r>
      <w:proofErr w:type="spellStart"/>
      <w:r w:rsidR="00EB3251" w:rsidRPr="005B2E32">
        <w:rPr>
          <w:rFonts w:ascii="Times New Roman" w:eastAsia="Times New Roman" w:hAnsi="Times New Roman" w:cs="Times New Roman"/>
          <w:bCs/>
          <w:kern w:val="36"/>
          <w:lang w:eastAsia="fr-FR"/>
        </w:rPr>
        <w:t>banking</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industry</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Technological</w:t>
      </w:r>
      <w:proofErr w:type="spellEnd"/>
      <w:r w:rsidR="00EB3251" w:rsidRPr="005B2E32">
        <w:rPr>
          <w:rFonts w:ascii="Times New Roman" w:eastAsia="Times New Roman" w:hAnsi="Times New Roman" w:cs="Times New Roman"/>
          <w:bCs/>
          <w:i/>
          <w:kern w:val="36"/>
          <w:lang w:eastAsia="fr-FR"/>
        </w:rPr>
        <w:t xml:space="preserve"> </w:t>
      </w:r>
      <w:proofErr w:type="spellStart"/>
      <w:r w:rsidR="00EB3251" w:rsidRPr="005B2E32">
        <w:rPr>
          <w:rFonts w:ascii="Times New Roman" w:eastAsia="Times New Roman" w:hAnsi="Times New Roman" w:cs="Times New Roman"/>
          <w:bCs/>
          <w:i/>
          <w:kern w:val="36"/>
          <w:lang w:eastAsia="fr-FR"/>
        </w:rPr>
        <w:t>Forecasting</w:t>
      </w:r>
      <w:proofErr w:type="spellEnd"/>
      <w:r w:rsidR="00EB3251" w:rsidRPr="005B2E32">
        <w:rPr>
          <w:rFonts w:ascii="Times New Roman" w:eastAsia="Times New Roman" w:hAnsi="Times New Roman" w:cs="Times New Roman"/>
          <w:bCs/>
          <w:i/>
          <w:kern w:val="36"/>
          <w:lang w:eastAsia="fr-FR"/>
        </w:rPr>
        <w:t xml:space="preserve"> &amp; Social Change</w:t>
      </w:r>
      <w:r w:rsidR="00702DC5" w:rsidRPr="005B2E32">
        <w:rPr>
          <w:rFonts w:ascii="Times New Roman" w:eastAsia="Times New Roman" w:hAnsi="Times New Roman" w:cs="Times New Roman"/>
          <w:bCs/>
          <w:kern w:val="36"/>
          <w:lang w:eastAsia="fr-FR"/>
        </w:rPr>
        <w:t xml:space="preserve"> </w:t>
      </w:r>
      <w:proofErr w:type="gramStart"/>
      <w:r w:rsidRPr="005B2E32">
        <w:rPr>
          <w:rFonts w:ascii="Times New Roman" w:eastAsia="Times New Roman" w:hAnsi="Times New Roman" w:cs="Times New Roman"/>
          <w:bCs/>
          <w:kern w:val="36"/>
          <w:lang w:eastAsia="fr-FR"/>
        </w:rPr>
        <w:t>161:</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 xml:space="preserve">1-10. </w:t>
      </w:r>
    </w:p>
    <w:p w:rsidR="00EB3251" w:rsidRPr="005B2E32" w:rsidRDefault="003F3EFA"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Campbell, J. L. (2007). </w:t>
      </w:r>
      <w:proofErr w:type="spellStart"/>
      <w:r w:rsidR="00EB3251" w:rsidRPr="005B2E32">
        <w:rPr>
          <w:rFonts w:ascii="Times New Roman" w:hAnsi="Times New Roman" w:cs="Times New Roman"/>
        </w:rPr>
        <w:t>Why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would</w:t>
      </w:r>
      <w:proofErr w:type="spellEnd"/>
      <w:r w:rsidR="00EB3251" w:rsidRPr="005B2E32">
        <w:rPr>
          <w:rFonts w:ascii="Times New Roman" w:hAnsi="Times New Roman" w:cs="Times New Roman"/>
        </w:rPr>
        <w:t xml:space="preserve"> corporations </w:t>
      </w:r>
      <w:proofErr w:type="spellStart"/>
      <w:r w:rsidR="00EB3251" w:rsidRPr="005B2E32">
        <w:rPr>
          <w:rFonts w:ascii="Times New Roman" w:hAnsi="Times New Roman" w:cs="Times New Roman"/>
        </w:rPr>
        <w:t>behave</w:t>
      </w:r>
      <w:proofErr w:type="spellEnd"/>
      <w:r w:rsidR="00EB3251" w:rsidRPr="005B2E32">
        <w:rPr>
          <w:rFonts w:ascii="Times New Roman" w:hAnsi="Times New Roman" w:cs="Times New Roman"/>
        </w:rPr>
        <w:t xml:space="preserve"> in </w:t>
      </w:r>
      <w:proofErr w:type="spellStart"/>
      <w:r w:rsidR="00EB3251" w:rsidRPr="005B2E32">
        <w:rPr>
          <w:rFonts w:ascii="Times New Roman" w:hAnsi="Times New Roman" w:cs="Times New Roman"/>
        </w:rPr>
        <w:t>socially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responsible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ways</w:t>
      </w:r>
      <w:proofErr w:type="spellEnd"/>
      <w:r w:rsidR="00EB3251" w:rsidRPr="005B2E32">
        <w:rPr>
          <w:rFonts w:ascii="Times New Roman" w:hAnsi="Times New Roman" w:cs="Times New Roman"/>
        </w:rPr>
        <w:t xml:space="preserve"> ? An </w:t>
      </w:r>
      <w:proofErr w:type="spellStart"/>
      <w:r w:rsidR="00EB3251" w:rsidRPr="005B2E32">
        <w:rPr>
          <w:rFonts w:ascii="Times New Roman" w:hAnsi="Times New Roman" w:cs="Times New Roman"/>
        </w:rPr>
        <w:t>institutional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theory</w:t>
      </w:r>
      <w:proofErr w:type="spellEnd"/>
      <w:r w:rsidR="00EB3251" w:rsidRPr="005B2E32">
        <w:rPr>
          <w:rFonts w:ascii="Times New Roman" w:hAnsi="Times New Roman" w:cs="Times New Roman"/>
        </w:rPr>
        <w:t xml:space="preserve"> of </w:t>
      </w:r>
      <w:proofErr w:type="spellStart"/>
      <w:r w:rsidR="00EB3251" w:rsidRPr="005B2E32">
        <w:rPr>
          <w:rFonts w:ascii="Times New Roman" w:hAnsi="Times New Roman" w:cs="Times New Roman"/>
        </w:rPr>
        <w:t>corporat</w:t>
      </w:r>
      <w:r w:rsidRPr="005B2E32">
        <w:rPr>
          <w:rFonts w:ascii="Times New Roman" w:hAnsi="Times New Roman" w:cs="Times New Roman"/>
        </w:rPr>
        <w:t>e</w:t>
      </w:r>
      <w:proofErr w:type="spellEnd"/>
      <w:r w:rsidRPr="005B2E32">
        <w:rPr>
          <w:rFonts w:ascii="Times New Roman" w:hAnsi="Times New Roman" w:cs="Times New Roman"/>
        </w:rPr>
        <w:t xml:space="preserve"> social </w:t>
      </w:r>
      <w:proofErr w:type="spellStart"/>
      <w:r w:rsidRPr="005B2E32">
        <w:rPr>
          <w:rFonts w:ascii="Times New Roman" w:hAnsi="Times New Roman" w:cs="Times New Roman"/>
        </w:rPr>
        <w:t>responsibility</w:t>
      </w:r>
      <w:proofErr w:type="spellEnd"/>
      <w:r w:rsidRPr="005B2E32">
        <w:rPr>
          <w:rFonts w:ascii="Times New Roman" w:hAnsi="Times New Roman" w:cs="Times New Roman"/>
        </w:rPr>
        <w:t> ?</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Academy</w:t>
      </w:r>
      <w:proofErr w:type="spellEnd"/>
      <w:r w:rsidR="00EB3251" w:rsidRPr="005B2E32">
        <w:rPr>
          <w:rFonts w:ascii="Times New Roman" w:hAnsi="Times New Roman" w:cs="Times New Roman"/>
          <w:i/>
        </w:rPr>
        <w:t xml:space="preserve"> of Management </w:t>
      </w:r>
      <w:proofErr w:type="spellStart"/>
      <w:r w:rsidR="00EB3251" w:rsidRPr="005B2E32">
        <w:rPr>
          <w:rFonts w:ascii="Times New Roman" w:hAnsi="Times New Roman" w:cs="Times New Roman"/>
          <w:i/>
        </w:rPr>
        <w:t>Review</w:t>
      </w:r>
      <w:proofErr w:type="spellEnd"/>
      <w:r w:rsidR="00702DC5" w:rsidRPr="005B2E32">
        <w:rPr>
          <w:rFonts w:ascii="Times New Roman" w:hAnsi="Times New Roman" w:cs="Times New Roman"/>
        </w:rPr>
        <w:t xml:space="preserve"> </w:t>
      </w:r>
      <w:r w:rsidR="00EB3251" w:rsidRPr="005B2E32">
        <w:rPr>
          <w:rFonts w:ascii="Times New Roman" w:hAnsi="Times New Roman" w:cs="Times New Roman"/>
        </w:rPr>
        <w:t>32</w:t>
      </w:r>
      <w:r w:rsidRPr="005B2E32">
        <w:rPr>
          <w:rFonts w:ascii="Times New Roman" w:hAnsi="Times New Roman" w:cs="Times New Roman"/>
        </w:rPr>
        <w:t xml:space="preserve"> (</w:t>
      </w:r>
      <w:r w:rsidR="00EB3251" w:rsidRPr="005B2E32">
        <w:rPr>
          <w:rFonts w:ascii="Times New Roman" w:hAnsi="Times New Roman" w:cs="Times New Roman"/>
        </w:rPr>
        <w:t>3</w:t>
      </w:r>
      <w:proofErr w:type="gramStart"/>
      <w:r w:rsidRPr="005B2E32">
        <w:rPr>
          <w:rFonts w:ascii="Times New Roman" w:hAnsi="Times New Roman" w:cs="Times New Roman"/>
        </w:rPr>
        <w:t>):</w:t>
      </w:r>
      <w:proofErr w:type="gramEnd"/>
      <w:r w:rsidRPr="005B2E32">
        <w:rPr>
          <w:rFonts w:ascii="Times New Roman" w:hAnsi="Times New Roman" w:cs="Times New Roman"/>
        </w:rPr>
        <w:t xml:space="preserve"> </w:t>
      </w:r>
      <w:r w:rsidR="00EB3251" w:rsidRPr="005B2E32">
        <w:rPr>
          <w:rFonts w:ascii="Times New Roman" w:hAnsi="Times New Roman" w:cs="Times New Roman"/>
        </w:rPr>
        <w:t>946-967.</w:t>
      </w:r>
    </w:p>
    <w:p w:rsidR="00EB3251" w:rsidRPr="005B2E32" w:rsidRDefault="00702DC5"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Cho, C. H., Patten, D. M., Roberts, R. W. (2006). </w:t>
      </w:r>
      <w:proofErr w:type="spellStart"/>
      <w:r w:rsidR="00D0173C" w:rsidRPr="005B2E32">
        <w:rPr>
          <w:rFonts w:ascii="Times New Roman" w:hAnsi="Times New Roman" w:cs="Times New Roman"/>
        </w:rPr>
        <w:t>Corporate</w:t>
      </w:r>
      <w:proofErr w:type="spellEnd"/>
      <w:r w:rsidR="00D0173C" w:rsidRPr="005B2E32">
        <w:rPr>
          <w:rFonts w:ascii="Times New Roman" w:hAnsi="Times New Roman" w:cs="Times New Roman"/>
        </w:rPr>
        <w:t xml:space="preserve"> </w:t>
      </w:r>
      <w:proofErr w:type="spellStart"/>
      <w:r w:rsidR="00D0173C" w:rsidRPr="005B2E32">
        <w:rPr>
          <w:rFonts w:ascii="Times New Roman" w:hAnsi="Times New Roman" w:cs="Times New Roman"/>
        </w:rPr>
        <w:t>political</w:t>
      </w:r>
      <w:proofErr w:type="spellEnd"/>
      <w:r w:rsidR="00D0173C" w:rsidRPr="005B2E32">
        <w:rPr>
          <w:rFonts w:ascii="Times New Roman" w:hAnsi="Times New Roman" w:cs="Times New Roman"/>
        </w:rPr>
        <w:t xml:space="preserve"> </w:t>
      </w:r>
      <w:proofErr w:type="spellStart"/>
      <w:proofErr w:type="gramStart"/>
      <w:r w:rsidR="00D0173C" w:rsidRPr="005B2E32">
        <w:rPr>
          <w:rFonts w:ascii="Times New Roman" w:hAnsi="Times New Roman" w:cs="Times New Roman"/>
        </w:rPr>
        <w:t>strategy</w:t>
      </w:r>
      <w:proofErr w:type="spellEnd"/>
      <w:r w:rsidR="00D0173C" w:rsidRPr="005B2E32">
        <w:rPr>
          <w:rFonts w:ascii="Times New Roman" w:hAnsi="Times New Roman" w:cs="Times New Roman"/>
        </w:rPr>
        <w:t>:</w:t>
      </w:r>
      <w:proofErr w:type="gramEnd"/>
      <w:r w:rsidR="00D0173C" w:rsidRPr="005B2E32">
        <w:rPr>
          <w:rFonts w:ascii="Times New Roman" w:hAnsi="Times New Roman" w:cs="Times New Roman"/>
        </w:rPr>
        <w:t xml:space="preserve"> A</w:t>
      </w:r>
      <w:r w:rsidR="00EB3251" w:rsidRPr="005B2E32">
        <w:rPr>
          <w:rFonts w:ascii="Times New Roman" w:hAnsi="Times New Roman" w:cs="Times New Roman"/>
        </w:rPr>
        <w:t xml:space="preserve">n </w:t>
      </w:r>
      <w:proofErr w:type="spellStart"/>
      <w:r w:rsidR="00EB3251" w:rsidRPr="005B2E32">
        <w:rPr>
          <w:rFonts w:ascii="Times New Roman" w:hAnsi="Times New Roman" w:cs="Times New Roman"/>
        </w:rPr>
        <w:t>examination</w:t>
      </w:r>
      <w:proofErr w:type="spellEnd"/>
      <w:r w:rsidR="00EB3251" w:rsidRPr="005B2E32">
        <w:rPr>
          <w:rFonts w:ascii="Times New Roman" w:hAnsi="Times New Roman" w:cs="Times New Roman"/>
        </w:rPr>
        <w:t xml:space="preserve"> of the relation </w:t>
      </w:r>
      <w:proofErr w:type="spellStart"/>
      <w:r w:rsidR="00EB3251" w:rsidRPr="005B2E32">
        <w:rPr>
          <w:rFonts w:ascii="Times New Roman" w:hAnsi="Times New Roman" w:cs="Times New Roman"/>
        </w:rPr>
        <w:t>between</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political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expenditures</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performance,</w:t>
      </w:r>
      <w:r w:rsidRPr="005B2E32">
        <w:rPr>
          <w:rFonts w:ascii="Times New Roman" w:hAnsi="Times New Roman" w:cs="Times New Roman"/>
        </w:rPr>
        <w:t xml:space="preserve"> and </w:t>
      </w:r>
      <w:proofErr w:type="spellStart"/>
      <w:r w:rsidRPr="005B2E32">
        <w:rPr>
          <w:rFonts w:ascii="Times New Roman" w:hAnsi="Times New Roman" w:cs="Times New Roman"/>
        </w:rPr>
        <w:t>environmental</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disclosure</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Journal of Business </w:t>
      </w:r>
      <w:proofErr w:type="spellStart"/>
      <w:r w:rsidR="00EB3251" w:rsidRPr="005B2E32">
        <w:rPr>
          <w:rFonts w:ascii="Times New Roman" w:hAnsi="Times New Roman" w:cs="Times New Roman"/>
          <w:i/>
        </w:rPr>
        <w:t>Ethics</w:t>
      </w:r>
      <w:proofErr w:type="spellEnd"/>
      <w:r w:rsidRPr="005B2E32">
        <w:rPr>
          <w:rFonts w:ascii="Times New Roman" w:hAnsi="Times New Roman" w:cs="Times New Roman"/>
        </w:rPr>
        <w:t xml:space="preserve"> </w:t>
      </w:r>
      <w:proofErr w:type="gramStart"/>
      <w:r w:rsidRPr="005B2E32">
        <w:rPr>
          <w:rFonts w:ascii="Times New Roman" w:hAnsi="Times New Roman" w:cs="Times New Roman"/>
        </w:rPr>
        <w:t>67:</w:t>
      </w:r>
      <w:proofErr w:type="gramEnd"/>
      <w:r w:rsidR="00EB3251" w:rsidRPr="005B2E32">
        <w:rPr>
          <w:rFonts w:ascii="Times New Roman" w:hAnsi="Times New Roman" w:cs="Times New Roman"/>
        </w:rPr>
        <w:t xml:space="preserve"> 139-154.</w:t>
      </w:r>
    </w:p>
    <w:p w:rsidR="00EB3251" w:rsidRPr="005B2E32" w:rsidRDefault="00702DC5" w:rsidP="005B2E32">
      <w:pPr>
        <w:spacing w:after="0" w:line="480" w:lineRule="auto"/>
        <w:jc w:val="both"/>
        <w:rPr>
          <w:rFonts w:ascii="Times New Roman" w:hAnsi="Times New Roman" w:cs="Times New Roman"/>
        </w:rPr>
      </w:pPr>
      <w:r w:rsidRPr="005B2E32">
        <w:rPr>
          <w:rFonts w:ascii="Times New Roman" w:hAnsi="Times New Roman" w:cs="Times New Roman"/>
        </w:rPr>
        <w:t>Cho, C. H.,</w:t>
      </w:r>
      <w:r w:rsidR="00EB3251" w:rsidRPr="005B2E32">
        <w:rPr>
          <w:rFonts w:ascii="Times New Roman" w:hAnsi="Times New Roman" w:cs="Times New Roman"/>
        </w:rPr>
        <w:t xml:space="preserve"> Patt</w:t>
      </w:r>
      <w:r w:rsidRPr="005B2E32">
        <w:rPr>
          <w:rFonts w:ascii="Times New Roman" w:hAnsi="Times New Roman" w:cs="Times New Roman"/>
        </w:rPr>
        <w:t xml:space="preserve">en, D. M. (2007). </w:t>
      </w:r>
      <w:r w:rsidR="00EB3251" w:rsidRPr="005B2E32">
        <w:rPr>
          <w:rFonts w:ascii="Times New Roman" w:hAnsi="Times New Roman" w:cs="Times New Roman"/>
        </w:rPr>
        <w:t xml:space="preserve">The </w:t>
      </w:r>
      <w:proofErr w:type="spellStart"/>
      <w:r w:rsidR="00EB3251" w:rsidRPr="005B2E32">
        <w:rPr>
          <w:rFonts w:ascii="Times New Roman" w:hAnsi="Times New Roman" w:cs="Times New Roman"/>
        </w:rPr>
        <w:t>role</w:t>
      </w:r>
      <w:proofErr w:type="spellEnd"/>
      <w:r w:rsidR="00EB3251" w:rsidRPr="005B2E32">
        <w:rPr>
          <w:rFonts w:ascii="Times New Roman" w:hAnsi="Times New Roman" w:cs="Times New Roman"/>
        </w:rPr>
        <w:t xml:space="preserve"> of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disclosures</w:t>
      </w:r>
      <w:proofErr w:type="spellEnd"/>
      <w:r w:rsidR="00EB3251" w:rsidRPr="005B2E32">
        <w:rPr>
          <w:rFonts w:ascii="Times New Roman" w:hAnsi="Times New Roman" w:cs="Times New Roman"/>
        </w:rPr>
        <w:t xml:space="preserve"> as </w:t>
      </w:r>
      <w:proofErr w:type="spellStart"/>
      <w:r w:rsidR="00EB3251" w:rsidRPr="005B2E32">
        <w:rPr>
          <w:rFonts w:ascii="Times New Roman" w:hAnsi="Times New Roman" w:cs="Times New Roman"/>
        </w:rPr>
        <w:t>tools</w:t>
      </w:r>
      <w:proofErr w:type="spellEnd"/>
      <w:r w:rsidR="00EB3251" w:rsidRPr="005B2E32">
        <w:rPr>
          <w:rFonts w:ascii="Times New Roman" w:hAnsi="Times New Roman" w:cs="Times New Roman"/>
        </w:rPr>
        <w:t xml:space="preserve"> o</w:t>
      </w:r>
      <w:r w:rsidRPr="005B2E32">
        <w:rPr>
          <w:rFonts w:ascii="Times New Roman" w:hAnsi="Times New Roman" w:cs="Times New Roman"/>
        </w:rPr>
        <w:t xml:space="preserve">f </w:t>
      </w:r>
      <w:proofErr w:type="spellStart"/>
      <w:proofErr w:type="gramStart"/>
      <w:r w:rsidRPr="005B2E32">
        <w:rPr>
          <w:rFonts w:ascii="Times New Roman" w:hAnsi="Times New Roman" w:cs="Times New Roman"/>
        </w:rPr>
        <w:t>legitimacy</w:t>
      </w:r>
      <w:proofErr w:type="spellEnd"/>
      <w:r w:rsidRPr="005B2E32">
        <w:rPr>
          <w:rFonts w:ascii="Times New Roman" w:hAnsi="Times New Roman" w:cs="Times New Roman"/>
        </w:rPr>
        <w:t>:</w:t>
      </w:r>
      <w:proofErr w:type="gramEnd"/>
      <w:r w:rsidRPr="005B2E32">
        <w:rPr>
          <w:rFonts w:ascii="Times New Roman" w:hAnsi="Times New Roman" w:cs="Times New Roman"/>
        </w:rPr>
        <w:t xml:space="preserve"> A </w:t>
      </w:r>
      <w:proofErr w:type="spellStart"/>
      <w:r w:rsidRPr="005B2E32">
        <w:rPr>
          <w:rFonts w:ascii="Times New Roman" w:hAnsi="Times New Roman" w:cs="Times New Roman"/>
        </w:rPr>
        <w:t>research</w:t>
      </w:r>
      <w:proofErr w:type="spellEnd"/>
      <w:r w:rsidRPr="005B2E32">
        <w:rPr>
          <w:rFonts w:ascii="Times New Roman" w:hAnsi="Times New Roman" w:cs="Times New Roman"/>
        </w:rPr>
        <w:t xml:space="preserve"> note.</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Organizations</w:t>
      </w:r>
      <w:proofErr w:type="spellEnd"/>
      <w:r w:rsidR="00EB3251" w:rsidRPr="005B2E32">
        <w:rPr>
          <w:rFonts w:ascii="Times New Roman" w:hAnsi="Times New Roman" w:cs="Times New Roman"/>
          <w:i/>
        </w:rPr>
        <w:t xml:space="preserve"> and Society</w:t>
      </w:r>
      <w:r w:rsidRPr="005B2E32">
        <w:rPr>
          <w:rFonts w:ascii="Times New Roman" w:hAnsi="Times New Roman" w:cs="Times New Roman"/>
        </w:rPr>
        <w:t xml:space="preserve"> </w:t>
      </w:r>
      <w:proofErr w:type="gramStart"/>
      <w:r w:rsidRPr="005B2E32">
        <w:rPr>
          <w:rFonts w:ascii="Times New Roman" w:hAnsi="Times New Roman" w:cs="Times New Roman"/>
        </w:rPr>
        <w:t>32:</w:t>
      </w:r>
      <w:proofErr w:type="gramEnd"/>
      <w:r w:rsidRPr="005B2E32">
        <w:rPr>
          <w:rFonts w:ascii="Times New Roman" w:hAnsi="Times New Roman" w:cs="Times New Roman"/>
        </w:rPr>
        <w:t xml:space="preserve"> </w:t>
      </w:r>
      <w:r w:rsidR="00EB3251" w:rsidRPr="005B2E32">
        <w:rPr>
          <w:rFonts w:ascii="Times New Roman" w:hAnsi="Times New Roman" w:cs="Times New Roman"/>
        </w:rPr>
        <w:t>639–647.</w:t>
      </w:r>
    </w:p>
    <w:p w:rsidR="00EB3251" w:rsidRPr="005B2E32" w:rsidRDefault="00702DC5"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Clarkson</w:t>
      </w:r>
      <w:proofErr w:type="spellEnd"/>
      <w:r w:rsidRPr="005B2E32">
        <w:rPr>
          <w:rFonts w:ascii="Times New Roman" w:eastAsia="Times New Roman" w:hAnsi="Times New Roman" w:cs="Times New Roman"/>
          <w:bCs/>
          <w:kern w:val="36"/>
          <w:lang w:eastAsia="fr-FR"/>
        </w:rPr>
        <w:t xml:space="preserve">, P. M., Li, Y., Richardson, G. D., </w:t>
      </w:r>
      <w:proofErr w:type="spellStart"/>
      <w:r w:rsidRPr="005B2E32">
        <w:rPr>
          <w:rFonts w:ascii="Times New Roman" w:eastAsia="Times New Roman" w:hAnsi="Times New Roman" w:cs="Times New Roman"/>
          <w:bCs/>
          <w:kern w:val="36"/>
          <w:lang w:eastAsia="fr-FR"/>
        </w:rPr>
        <w:t>Vasvari</w:t>
      </w:r>
      <w:proofErr w:type="spellEnd"/>
      <w:r w:rsidRPr="005B2E32">
        <w:rPr>
          <w:rFonts w:ascii="Times New Roman" w:eastAsia="Times New Roman" w:hAnsi="Times New Roman" w:cs="Times New Roman"/>
          <w:bCs/>
          <w:kern w:val="36"/>
          <w:lang w:eastAsia="fr-FR"/>
        </w:rPr>
        <w:t xml:space="preserve">, F. P. (2008). </w:t>
      </w:r>
      <w:proofErr w:type="spellStart"/>
      <w:r w:rsidR="00EB3251" w:rsidRPr="005B2E32">
        <w:rPr>
          <w:rFonts w:ascii="Times New Roman" w:eastAsia="Times New Roman" w:hAnsi="Times New Roman" w:cs="Times New Roman"/>
          <w:bCs/>
          <w:kern w:val="36"/>
          <w:lang w:eastAsia="fr-FR"/>
        </w:rPr>
        <w:t>Revisiting</w:t>
      </w:r>
      <w:proofErr w:type="spellEnd"/>
      <w:r w:rsidR="00EB3251" w:rsidRPr="005B2E32">
        <w:rPr>
          <w:rFonts w:ascii="Times New Roman" w:eastAsia="Times New Roman" w:hAnsi="Times New Roman" w:cs="Times New Roman"/>
          <w:bCs/>
          <w:kern w:val="36"/>
          <w:lang w:eastAsia="fr-FR"/>
        </w:rPr>
        <w:t xml:space="preserve"> the relation </w:t>
      </w:r>
      <w:proofErr w:type="spellStart"/>
      <w:r w:rsidR="00EB3251" w:rsidRPr="005B2E32">
        <w:rPr>
          <w:rFonts w:ascii="Times New Roman" w:eastAsia="Times New Roman" w:hAnsi="Times New Roman" w:cs="Times New Roman"/>
          <w:bCs/>
          <w:kern w:val="36"/>
          <w:lang w:eastAsia="fr-FR"/>
        </w:rPr>
        <w:t>between</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environmental</w:t>
      </w:r>
      <w:proofErr w:type="spellEnd"/>
      <w:r w:rsidR="00EB3251" w:rsidRPr="005B2E32">
        <w:rPr>
          <w:rFonts w:ascii="Times New Roman" w:eastAsia="Times New Roman" w:hAnsi="Times New Roman" w:cs="Times New Roman"/>
          <w:bCs/>
          <w:kern w:val="36"/>
          <w:lang w:eastAsia="fr-FR"/>
        </w:rPr>
        <w:t xml:space="preserve"> performance and </w:t>
      </w:r>
      <w:proofErr w:type="spellStart"/>
      <w:r w:rsidR="00EB3251" w:rsidRPr="005B2E32">
        <w:rPr>
          <w:rFonts w:ascii="Times New Roman" w:eastAsia="Times New Roman" w:hAnsi="Times New Roman" w:cs="Times New Roman"/>
          <w:bCs/>
          <w:kern w:val="36"/>
          <w:lang w:eastAsia="fr-FR"/>
        </w:rPr>
        <w:t>environmental</w:t>
      </w:r>
      <w:proofErr w:type="spellEnd"/>
      <w:r w:rsidR="00EB3251" w:rsidRPr="005B2E32">
        <w:rPr>
          <w:rFonts w:ascii="Times New Roman" w:eastAsia="Times New Roman" w:hAnsi="Times New Roman" w:cs="Times New Roman"/>
          <w:bCs/>
          <w:kern w:val="36"/>
          <w:lang w:eastAsia="fr-FR"/>
        </w:rPr>
        <w:t xml:space="preserve"> </w:t>
      </w:r>
      <w:proofErr w:type="spellStart"/>
      <w:proofErr w:type="gramStart"/>
      <w:r w:rsidR="00EB3251" w:rsidRPr="005B2E32">
        <w:rPr>
          <w:rFonts w:ascii="Times New Roman" w:eastAsia="Times New Roman" w:hAnsi="Times New Roman" w:cs="Times New Roman"/>
          <w:bCs/>
          <w:kern w:val="36"/>
          <w:lang w:eastAsia="fr-FR"/>
        </w:rPr>
        <w:t>discl</w:t>
      </w:r>
      <w:r w:rsidRPr="005B2E32">
        <w:rPr>
          <w:rFonts w:ascii="Times New Roman" w:eastAsia="Times New Roman" w:hAnsi="Times New Roman" w:cs="Times New Roman"/>
          <w:bCs/>
          <w:kern w:val="36"/>
          <w:lang w:eastAsia="fr-FR"/>
        </w:rPr>
        <w:t>osure</w:t>
      </w:r>
      <w:proofErr w:type="spellEnd"/>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An </w:t>
      </w:r>
      <w:proofErr w:type="spellStart"/>
      <w:r w:rsidRPr="005B2E32">
        <w:rPr>
          <w:rFonts w:ascii="Times New Roman" w:eastAsia="Times New Roman" w:hAnsi="Times New Roman" w:cs="Times New Roman"/>
          <w:bCs/>
          <w:kern w:val="36"/>
          <w:lang w:eastAsia="fr-FR"/>
        </w:rPr>
        <w:t>empirical</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analysis</w:t>
      </w:r>
      <w:proofErr w:type="spellEnd"/>
      <w:r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Accounting</w:t>
      </w:r>
      <w:proofErr w:type="spellEnd"/>
      <w:r w:rsidR="00EB3251" w:rsidRPr="005B2E32">
        <w:rPr>
          <w:rFonts w:ascii="Times New Roman" w:eastAsia="Times New Roman" w:hAnsi="Times New Roman" w:cs="Times New Roman"/>
          <w:bCs/>
          <w:i/>
          <w:kern w:val="36"/>
          <w:lang w:eastAsia="fr-FR"/>
        </w:rPr>
        <w:t xml:space="preserve">, </w:t>
      </w:r>
      <w:proofErr w:type="spellStart"/>
      <w:r w:rsidR="00EB3251" w:rsidRPr="005B2E32">
        <w:rPr>
          <w:rFonts w:ascii="Times New Roman" w:eastAsia="Times New Roman" w:hAnsi="Times New Roman" w:cs="Times New Roman"/>
          <w:bCs/>
          <w:i/>
          <w:kern w:val="36"/>
          <w:lang w:eastAsia="fr-FR"/>
        </w:rPr>
        <w:t>Organizations</w:t>
      </w:r>
      <w:proofErr w:type="spellEnd"/>
      <w:r w:rsidR="00EB3251" w:rsidRPr="005B2E32">
        <w:rPr>
          <w:rFonts w:ascii="Times New Roman" w:eastAsia="Times New Roman" w:hAnsi="Times New Roman" w:cs="Times New Roman"/>
          <w:bCs/>
          <w:i/>
          <w:kern w:val="36"/>
          <w:lang w:eastAsia="fr-FR"/>
        </w:rPr>
        <w:t xml:space="preserve"> and Society</w:t>
      </w:r>
      <w:r w:rsidRPr="005B2E32">
        <w:rPr>
          <w:rFonts w:ascii="Times New Roman" w:eastAsia="Times New Roman" w:hAnsi="Times New Roman" w:cs="Times New Roman"/>
          <w:bCs/>
          <w:kern w:val="36"/>
          <w:lang w:eastAsia="fr-FR"/>
        </w:rPr>
        <w:t xml:space="preserve"> 33</w:t>
      </w:r>
      <w:r w:rsidR="00D0173C" w:rsidRPr="005B2E32">
        <w:rPr>
          <w:rFonts w:ascii="Times New Roman" w:eastAsia="Times New Roman" w:hAnsi="Times New Roman" w:cs="Times New Roman"/>
          <w:bCs/>
          <w:kern w:val="36"/>
          <w:lang w:eastAsia="fr-FR"/>
        </w:rPr>
        <w:t xml:space="preserve"> </w:t>
      </w:r>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4-5</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303-327.</w:t>
      </w:r>
    </w:p>
    <w:p w:rsidR="00EB3251" w:rsidRPr="005B2E32" w:rsidRDefault="00702DC5"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Cong</w:t>
      </w:r>
      <w:proofErr w:type="spellEnd"/>
      <w:r w:rsidRPr="005B2E32">
        <w:rPr>
          <w:rFonts w:ascii="Times New Roman" w:eastAsia="Times New Roman" w:hAnsi="Times New Roman" w:cs="Times New Roman"/>
          <w:bCs/>
          <w:kern w:val="36"/>
          <w:lang w:eastAsia="fr-FR"/>
        </w:rPr>
        <w:t xml:space="preserve">, Y., </w:t>
      </w:r>
      <w:proofErr w:type="spellStart"/>
      <w:r w:rsidRPr="005B2E32">
        <w:rPr>
          <w:rFonts w:ascii="Times New Roman" w:eastAsia="Times New Roman" w:hAnsi="Times New Roman" w:cs="Times New Roman"/>
          <w:bCs/>
          <w:kern w:val="36"/>
          <w:lang w:eastAsia="fr-FR"/>
        </w:rPr>
        <w:t>Freedman</w:t>
      </w:r>
      <w:proofErr w:type="spellEnd"/>
      <w:r w:rsidRPr="005B2E32">
        <w:rPr>
          <w:rFonts w:ascii="Times New Roman" w:eastAsia="Times New Roman" w:hAnsi="Times New Roman" w:cs="Times New Roman"/>
          <w:bCs/>
          <w:kern w:val="36"/>
          <w:lang w:eastAsia="fr-FR"/>
        </w:rPr>
        <w:t xml:space="preserve">, M., Park, J. D. (2020). </w:t>
      </w:r>
      <w:proofErr w:type="spellStart"/>
      <w:r w:rsidR="00EB3251" w:rsidRPr="005B2E32">
        <w:rPr>
          <w:rFonts w:ascii="Times New Roman" w:eastAsia="Times New Roman" w:hAnsi="Times New Roman" w:cs="Times New Roman"/>
          <w:bCs/>
          <w:kern w:val="36"/>
          <w:lang w:eastAsia="fr-FR"/>
        </w:rPr>
        <w:t>Mandatory</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greenhouse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gas</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emissions</w:t>
      </w:r>
      <w:proofErr w:type="spellEnd"/>
      <w:r w:rsidR="00EB3251" w:rsidRPr="005B2E32">
        <w:rPr>
          <w:rFonts w:ascii="Times New Roman" w:eastAsia="Times New Roman" w:hAnsi="Times New Roman" w:cs="Times New Roman"/>
          <w:bCs/>
          <w:kern w:val="36"/>
          <w:lang w:eastAsia="fr-FR"/>
        </w:rPr>
        <w:t xml:space="preserve"> and </w:t>
      </w:r>
      <w:proofErr w:type="spellStart"/>
      <w:r w:rsidR="00EB3251" w:rsidRPr="005B2E32">
        <w:rPr>
          <w:rFonts w:ascii="Times New Roman" w:eastAsia="Times New Roman" w:hAnsi="Times New Roman" w:cs="Times New Roman"/>
          <w:bCs/>
          <w:kern w:val="36"/>
          <w:lang w:eastAsia="fr-FR"/>
        </w:rPr>
        <w:t>required</w:t>
      </w:r>
      <w:proofErr w:type="spellEnd"/>
      <w:r w:rsidR="00EB3251" w:rsidRPr="005B2E32">
        <w:rPr>
          <w:rFonts w:ascii="Times New Roman" w:eastAsia="Times New Roman" w:hAnsi="Times New Roman" w:cs="Times New Roman"/>
          <w:bCs/>
          <w:kern w:val="36"/>
          <w:lang w:eastAsia="fr-FR"/>
        </w:rPr>
        <w:t xml:space="preserve"> S</w:t>
      </w:r>
      <w:r w:rsidRPr="005B2E32">
        <w:rPr>
          <w:rFonts w:ascii="Times New Roman" w:eastAsia="Times New Roman" w:hAnsi="Times New Roman" w:cs="Times New Roman"/>
          <w:bCs/>
          <w:kern w:val="36"/>
          <w:lang w:eastAsia="fr-FR"/>
        </w:rPr>
        <w:t xml:space="preserve">EC </w:t>
      </w:r>
      <w:proofErr w:type="spellStart"/>
      <w:r w:rsidRPr="005B2E32">
        <w:rPr>
          <w:rFonts w:ascii="Times New Roman" w:eastAsia="Times New Roman" w:hAnsi="Times New Roman" w:cs="Times New Roman"/>
          <w:bCs/>
          <w:kern w:val="36"/>
          <w:lang w:eastAsia="fr-FR"/>
        </w:rPr>
        <w:t>climate</w:t>
      </w:r>
      <w:proofErr w:type="spellEnd"/>
      <w:r w:rsidRPr="005B2E32">
        <w:rPr>
          <w:rFonts w:ascii="Times New Roman" w:eastAsia="Times New Roman" w:hAnsi="Times New Roman" w:cs="Times New Roman"/>
          <w:bCs/>
          <w:kern w:val="36"/>
          <w:lang w:eastAsia="fr-FR"/>
        </w:rPr>
        <w:t xml:space="preserve"> change </w:t>
      </w:r>
      <w:proofErr w:type="spellStart"/>
      <w:r w:rsidRPr="005B2E32">
        <w:rPr>
          <w:rFonts w:ascii="Times New Roman" w:eastAsia="Times New Roman" w:hAnsi="Times New Roman" w:cs="Times New Roman"/>
          <w:bCs/>
          <w:kern w:val="36"/>
          <w:lang w:eastAsia="fr-FR"/>
        </w:rPr>
        <w:t>disclosures</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 xml:space="preserve">Journal of </w:t>
      </w:r>
      <w:proofErr w:type="spellStart"/>
      <w:r w:rsidR="00EB3251" w:rsidRPr="005B2E32">
        <w:rPr>
          <w:rFonts w:ascii="Times New Roman" w:eastAsia="Times New Roman" w:hAnsi="Times New Roman" w:cs="Times New Roman"/>
          <w:bCs/>
          <w:i/>
          <w:kern w:val="36"/>
          <w:lang w:eastAsia="fr-FR"/>
        </w:rPr>
        <w:t>Cleaner</w:t>
      </w:r>
      <w:proofErr w:type="spellEnd"/>
      <w:r w:rsidR="00EB3251" w:rsidRPr="005B2E32">
        <w:rPr>
          <w:rFonts w:ascii="Times New Roman" w:eastAsia="Times New Roman" w:hAnsi="Times New Roman" w:cs="Times New Roman"/>
          <w:bCs/>
          <w:i/>
          <w:kern w:val="36"/>
          <w:lang w:eastAsia="fr-FR"/>
        </w:rPr>
        <w:t xml:space="preserve"> Production</w:t>
      </w:r>
      <w:r w:rsidRPr="005B2E32">
        <w:rPr>
          <w:rFonts w:ascii="Times New Roman" w:eastAsia="Times New Roman" w:hAnsi="Times New Roman" w:cs="Times New Roman"/>
          <w:bCs/>
          <w:kern w:val="36"/>
          <w:lang w:eastAsia="fr-FR"/>
        </w:rPr>
        <w:t xml:space="preserve"> 247</w:t>
      </w:r>
      <w:r w:rsidR="00D0173C" w:rsidRPr="005B2E32">
        <w:rPr>
          <w:rFonts w:ascii="Times New Roman" w:eastAsia="Times New Roman" w:hAnsi="Times New Roman" w:cs="Times New Roman"/>
          <w:bCs/>
          <w:kern w:val="36"/>
          <w:lang w:eastAsia="fr-FR"/>
        </w:rPr>
        <w:t xml:space="preserve"> </w:t>
      </w:r>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20</w:t>
      </w:r>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w:t>
      </w:r>
    </w:p>
    <w:p w:rsidR="00EB3251" w:rsidRPr="005B2E32" w:rsidRDefault="00702DC5"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Cormier, D., Magnan, M., Van Velthoven, B. (2005).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qual</w:t>
      </w:r>
      <w:r w:rsidR="00D0173C" w:rsidRPr="005B2E32">
        <w:rPr>
          <w:rFonts w:ascii="Times New Roman" w:hAnsi="Times New Roman" w:cs="Times New Roman"/>
        </w:rPr>
        <w:t>ity</w:t>
      </w:r>
      <w:proofErr w:type="spellEnd"/>
      <w:r w:rsidR="00D0173C" w:rsidRPr="005B2E32">
        <w:rPr>
          <w:rFonts w:ascii="Times New Roman" w:hAnsi="Times New Roman" w:cs="Times New Roman"/>
        </w:rPr>
        <w:t xml:space="preserve"> in large </w:t>
      </w:r>
      <w:proofErr w:type="spellStart"/>
      <w:r w:rsidR="00D0173C" w:rsidRPr="005B2E32">
        <w:rPr>
          <w:rFonts w:ascii="Times New Roman" w:hAnsi="Times New Roman" w:cs="Times New Roman"/>
        </w:rPr>
        <w:t>German</w:t>
      </w:r>
      <w:proofErr w:type="spellEnd"/>
      <w:r w:rsidR="00D0173C" w:rsidRPr="005B2E32">
        <w:rPr>
          <w:rFonts w:ascii="Times New Roman" w:hAnsi="Times New Roman" w:cs="Times New Roman"/>
        </w:rPr>
        <w:t xml:space="preserve"> </w:t>
      </w:r>
      <w:proofErr w:type="spellStart"/>
      <w:proofErr w:type="gramStart"/>
      <w:r w:rsidR="00D0173C" w:rsidRPr="005B2E32">
        <w:rPr>
          <w:rFonts w:ascii="Times New Roman" w:hAnsi="Times New Roman" w:cs="Times New Roman"/>
        </w:rPr>
        <w:t>companies</w:t>
      </w:r>
      <w:proofErr w:type="spellEnd"/>
      <w:r w:rsidR="00D0173C" w:rsidRPr="005B2E32">
        <w:rPr>
          <w:rFonts w:ascii="Times New Roman" w:hAnsi="Times New Roman" w:cs="Times New Roman"/>
        </w:rPr>
        <w:t>:</w:t>
      </w:r>
      <w:proofErr w:type="gramEnd"/>
      <w:r w:rsidR="00D0173C" w:rsidRPr="005B2E32">
        <w:rPr>
          <w:rFonts w:ascii="Times New Roman" w:hAnsi="Times New Roman" w:cs="Times New Roman"/>
        </w:rPr>
        <w:t xml:space="preserve"> </w:t>
      </w:r>
      <w:proofErr w:type="spellStart"/>
      <w:r w:rsidR="00D0173C" w:rsidRPr="005B2E32">
        <w:rPr>
          <w:rFonts w:ascii="Times New Roman" w:hAnsi="Times New Roman" w:cs="Times New Roman"/>
        </w:rPr>
        <w:t>E</w:t>
      </w:r>
      <w:r w:rsidR="00EB3251" w:rsidRPr="005B2E32">
        <w:rPr>
          <w:rFonts w:ascii="Times New Roman" w:hAnsi="Times New Roman" w:cs="Times New Roman"/>
        </w:rPr>
        <w:t>conomic</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incentives</w:t>
      </w:r>
      <w:proofErr w:type="spellEnd"/>
      <w:r w:rsidR="00EB3251" w:rsidRPr="005B2E32">
        <w:rPr>
          <w:rFonts w:ascii="Times New Roman" w:hAnsi="Times New Roman" w:cs="Times New Roman"/>
        </w:rPr>
        <w:t>, public pressures</w:t>
      </w:r>
      <w:r w:rsidRPr="005B2E32">
        <w:rPr>
          <w:rFonts w:ascii="Times New Roman" w:hAnsi="Times New Roman" w:cs="Times New Roman"/>
        </w:rPr>
        <w:t xml:space="preserve"> or </w:t>
      </w:r>
      <w:proofErr w:type="spellStart"/>
      <w:r w:rsidRPr="005B2E32">
        <w:rPr>
          <w:rFonts w:ascii="Times New Roman" w:hAnsi="Times New Roman" w:cs="Times New Roman"/>
        </w:rPr>
        <w:t>institutional</w:t>
      </w:r>
      <w:proofErr w:type="spellEnd"/>
      <w:r w:rsidRPr="005B2E32">
        <w:rPr>
          <w:rFonts w:ascii="Times New Roman" w:hAnsi="Times New Roman" w:cs="Times New Roman"/>
        </w:rPr>
        <w:t xml:space="preserve"> conditions ?</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European</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Review</w:t>
      </w:r>
      <w:proofErr w:type="spellEnd"/>
      <w:r w:rsidRPr="005B2E32">
        <w:rPr>
          <w:rFonts w:ascii="Times New Roman" w:hAnsi="Times New Roman" w:cs="Times New Roman"/>
        </w:rPr>
        <w:t xml:space="preserve"> </w:t>
      </w:r>
      <w:proofErr w:type="gramStart"/>
      <w:r w:rsidR="00EB3251" w:rsidRPr="005B2E32">
        <w:rPr>
          <w:rFonts w:ascii="Times New Roman" w:hAnsi="Times New Roman" w:cs="Times New Roman"/>
        </w:rPr>
        <w:t>14</w:t>
      </w:r>
      <w:r w:rsidRPr="005B2E32">
        <w:rPr>
          <w:rFonts w:ascii="Times New Roman" w:hAnsi="Times New Roman" w:cs="Times New Roman"/>
        </w:rPr>
        <w:t>:</w:t>
      </w:r>
      <w:proofErr w:type="gramEnd"/>
      <w:r w:rsidR="00EB3251" w:rsidRPr="005B2E32">
        <w:rPr>
          <w:rFonts w:ascii="Times New Roman" w:hAnsi="Times New Roman" w:cs="Times New Roman"/>
        </w:rPr>
        <w:t xml:space="preserve"> 3–39. </w:t>
      </w:r>
    </w:p>
    <w:p w:rsidR="00EB3251" w:rsidRPr="005B2E32" w:rsidRDefault="006B11A5" w:rsidP="005B2E32">
      <w:pPr>
        <w:spacing w:after="0" w:line="480" w:lineRule="auto"/>
        <w:jc w:val="both"/>
        <w:outlineLvl w:val="2"/>
        <w:rPr>
          <w:rFonts w:ascii="Times New Roman" w:eastAsia="Times New Roman" w:hAnsi="Times New Roman" w:cs="Times New Roman"/>
          <w:lang w:eastAsia="fr-FR"/>
        </w:rPr>
      </w:pPr>
      <w:proofErr w:type="spellStart"/>
      <w:r w:rsidRPr="005B2E32">
        <w:rPr>
          <w:rFonts w:ascii="Times New Roman" w:eastAsia="Times New Roman" w:hAnsi="Times New Roman" w:cs="Times New Roman"/>
          <w:lang w:eastAsia="fr-FR"/>
        </w:rPr>
        <w:t>Cosma</w:t>
      </w:r>
      <w:proofErr w:type="spellEnd"/>
      <w:r w:rsidRPr="005B2E32">
        <w:rPr>
          <w:rFonts w:ascii="Times New Roman" w:eastAsia="Times New Roman" w:hAnsi="Times New Roman" w:cs="Times New Roman"/>
          <w:lang w:eastAsia="fr-FR"/>
        </w:rPr>
        <w:t xml:space="preserve">, S., </w:t>
      </w:r>
      <w:proofErr w:type="spellStart"/>
      <w:r w:rsidRPr="005B2E32">
        <w:rPr>
          <w:rFonts w:ascii="Times New Roman" w:eastAsia="Times New Roman" w:hAnsi="Times New Roman" w:cs="Times New Roman"/>
          <w:lang w:eastAsia="fr-FR"/>
        </w:rPr>
        <w:t>Venturelli</w:t>
      </w:r>
      <w:proofErr w:type="spellEnd"/>
      <w:r w:rsidRPr="005B2E32">
        <w:rPr>
          <w:rFonts w:ascii="Times New Roman" w:eastAsia="Times New Roman" w:hAnsi="Times New Roman" w:cs="Times New Roman"/>
          <w:lang w:eastAsia="fr-FR"/>
        </w:rPr>
        <w:t xml:space="preserve">, A., </w:t>
      </w:r>
      <w:proofErr w:type="spellStart"/>
      <w:r w:rsidRPr="005B2E32">
        <w:rPr>
          <w:rFonts w:ascii="Times New Roman" w:eastAsia="Times New Roman" w:hAnsi="Times New Roman" w:cs="Times New Roman"/>
          <w:lang w:eastAsia="fr-FR"/>
        </w:rPr>
        <w:t>Schwizer</w:t>
      </w:r>
      <w:proofErr w:type="spellEnd"/>
      <w:r w:rsidRPr="005B2E32">
        <w:rPr>
          <w:rFonts w:ascii="Times New Roman" w:eastAsia="Times New Roman" w:hAnsi="Times New Roman" w:cs="Times New Roman"/>
          <w:lang w:eastAsia="fr-FR"/>
        </w:rPr>
        <w:t xml:space="preserve">, P., </w:t>
      </w:r>
      <w:proofErr w:type="spellStart"/>
      <w:r w:rsidRPr="005B2E32">
        <w:rPr>
          <w:rFonts w:ascii="Times New Roman" w:eastAsia="Times New Roman" w:hAnsi="Times New Roman" w:cs="Times New Roman"/>
          <w:lang w:eastAsia="fr-FR"/>
        </w:rPr>
        <w:t>Boscia</w:t>
      </w:r>
      <w:proofErr w:type="spellEnd"/>
      <w:r w:rsidRPr="005B2E32">
        <w:rPr>
          <w:rFonts w:ascii="Times New Roman" w:eastAsia="Times New Roman" w:hAnsi="Times New Roman" w:cs="Times New Roman"/>
          <w:lang w:eastAsia="fr-FR"/>
        </w:rPr>
        <w:t xml:space="preserve">, V. (2020). </w:t>
      </w:r>
      <w:hyperlink r:id="rId20" w:history="1">
        <w:proofErr w:type="spellStart"/>
        <w:r w:rsidR="00EB3251" w:rsidRPr="005B2E32">
          <w:rPr>
            <w:rFonts w:ascii="Times New Roman" w:eastAsia="Times New Roman" w:hAnsi="Times New Roman" w:cs="Times New Roman"/>
            <w:bCs/>
            <w:lang w:eastAsia="fr-FR"/>
          </w:rPr>
          <w:t>Sustainable</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development</w:t>
        </w:r>
        <w:proofErr w:type="spellEnd"/>
        <w:r w:rsidR="00EB3251" w:rsidRPr="005B2E32">
          <w:rPr>
            <w:rFonts w:ascii="Times New Roman" w:eastAsia="Times New Roman" w:hAnsi="Times New Roman" w:cs="Times New Roman"/>
            <w:bCs/>
            <w:lang w:eastAsia="fr-FR"/>
          </w:rPr>
          <w:t xml:space="preserve"> and </w:t>
        </w:r>
        <w:proofErr w:type="spellStart"/>
        <w:r w:rsidR="00EB3251" w:rsidRPr="005B2E32">
          <w:rPr>
            <w:rFonts w:ascii="Times New Roman" w:eastAsia="Times New Roman" w:hAnsi="Times New Roman" w:cs="Times New Roman"/>
            <w:bCs/>
            <w:lang w:eastAsia="fr-FR"/>
          </w:rPr>
          <w:t>European</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banks</w:t>
        </w:r>
        <w:proofErr w:type="spellEnd"/>
        <w:r w:rsidR="00EB3251" w:rsidRPr="005B2E32">
          <w:rPr>
            <w:rFonts w:ascii="Times New Roman" w:eastAsia="Times New Roman" w:hAnsi="Times New Roman" w:cs="Times New Roman"/>
            <w:bCs/>
            <w:lang w:eastAsia="fr-FR"/>
          </w:rPr>
          <w:t>: A non-</w:t>
        </w:r>
        <w:proofErr w:type="spellStart"/>
        <w:r w:rsidR="00EB3251" w:rsidRPr="005B2E32">
          <w:rPr>
            <w:rFonts w:ascii="Times New Roman" w:eastAsia="Times New Roman" w:hAnsi="Times New Roman" w:cs="Times New Roman"/>
            <w:bCs/>
            <w:lang w:eastAsia="fr-FR"/>
          </w:rPr>
          <w:t>financial</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disclosure</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analysis</w:t>
        </w:r>
        <w:proofErr w:type="spellEnd"/>
      </w:hyperlink>
      <w:r w:rsidRPr="005B2E32">
        <w:rPr>
          <w:rFonts w:ascii="Times New Roman" w:eastAsia="Times New Roman" w:hAnsi="Times New Roman" w:cs="Times New Roman"/>
          <w:bCs/>
          <w:lang w:eastAsia="fr-FR"/>
        </w:rPr>
        <w:t>.</w:t>
      </w:r>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i/>
          <w:lang w:eastAsia="fr-FR"/>
        </w:rPr>
        <w:t>Sustainability</w:t>
      </w:r>
      <w:proofErr w:type="spellEnd"/>
      <w:r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lang w:eastAsia="fr-FR"/>
        </w:rPr>
        <w:t>12</w:t>
      </w:r>
      <w:r w:rsidR="00D0173C" w:rsidRPr="005B2E32">
        <w:rPr>
          <w:rFonts w:ascii="Times New Roman" w:eastAsia="Times New Roman" w:hAnsi="Times New Roman" w:cs="Times New Roman"/>
          <w:lang w:eastAsia="fr-FR"/>
        </w:rPr>
        <w:t xml:space="preserve"> </w:t>
      </w:r>
      <w:r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15</w:t>
      </w:r>
      <w:proofErr w:type="gramStart"/>
      <w:r w:rsidRPr="005B2E32">
        <w:rPr>
          <w:rFonts w:ascii="Times New Roman" w:eastAsia="Times New Roman" w:hAnsi="Times New Roman" w:cs="Times New Roman"/>
          <w:lang w:eastAsia="fr-FR"/>
        </w:rPr>
        <w:t>):</w:t>
      </w:r>
      <w:proofErr w:type="gramEnd"/>
      <w:r w:rsidR="00EB3251" w:rsidRPr="005B2E32">
        <w:rPr>
          <w:rFonts w:ascii="Times New Roman" w:eastAsia="Times New Roman" w:hAnsi="Times New Roman" w:cs="Times New Roman"/>
          <w:lang w:eastAsia="fr-FR"/>
        </w:rPr>
        <w:t xml:space="preserve"> 1-19.</w:t>
      </w:r>
    </w:p>
    <w:p w:rsidR="00EB3251" w:rsidRPr="005B2E32" w:rsidRDefault="006B11A5" w:rsidP="005B2E32">
      <w:pPr>
        <w:spacing w:after="0" w:line="480" w:lineRule="auto"/>
        <w:jc w:val="both"/>
        <w:outlineLvl w:val="2"/>
        <w:rPr>
          <w:rFonts w:ascii="Times New Roman" w:eastAsia="Times New Roman" w:hAnsi="Times New Roman" w:cs="Times New Roman"/>
          <w:lang w:eastAsia="fr-FR"/>
        </w:rPr>
      </w:pPr>
      <w:proofErr w:type="spellStart"/>
      <w:r w:rsidRPr="005B2E32">
        <w:rPr>
          <w:rFonts w:ascii="Times New Roman" w:eastAsia="Times New Roman" w:hAnsi="Times New Roman" w:cs="Times New Roman"/>
          <w:lang w:eastAsia="fr-FR"/>
        </w:rPr>
        <w:t>Dawkins</w:t>
      </w:r>
      <w:proofErr w:type="spellEnd"/>
      <w:r w:rsidRPr="005B2E32">
        <w:rPr>
          <w:rFonts w:ascii="Times New Roman" w:eastAsia="Times New Roman" w:hAnsi="Times New Roman" w:cs="Times New Roman"/>
          <w:lang w:eastAsia="fr-FR"/>
        </w:rPr>
        <w:t xml:space="preserve">, C., </w:t>
      </w:r>
      <w:proofErr w:type="spellStart"/>
      <w:r w:rsidRPr="005B2E32">
        <w:rPr>
          <w:rFonts w:ascii="Times New Roman" w:eastAsia="Times New Roman" w:hAnsi="Times New Roman" w:cs="Times New Roman"/>
          <w:lang w:eastAsia="fr-FR"/>
        </w:rPr>
        <w:t>Fraas</w:t>
      </w:r>
      <w:proofErr w:type="spellEnd"/>
      <w:r w:rsidRPr="005B2E32">
        <w:rPr>
          <w:rFonts w:ascii="Times New Roman" w:eastAsia="Times New Roman" w:hAnsi="Times New Roman" w:cs="Times New Roman"/>
          <w:lang w:eastAsia="fr-FR"/>
        </w:rPr>
        <w:t xml:space="preserve">, J. </w:t>
      </w:r>
      <w:r w:rsidR="00EB3251" w:rsidRPr="005B2E32">
        <w:rPr>
          <w:rFonts w:ascii="Times New Roman" w:eastAsia="Times New Roman" w:hAnsi="Times New Roman" w:cs="Times New Roman"/>
          <w:lang w:eastAsia="fr-FR"/>
        </w:rPr>
        <w:t>W.</w:t>
      </w:r>
      <w:r w:rsidRPr="005B2E32">
        <w:rPr>
          <w:rFonts w:ascii="Times New Roman" w:eastAsia="Times New Roman" w:hAnsi="Times New Roman" w:cs="Times New Roman"/>
          <w:lang w:eastAsia="fr-FR"/>
        </w:rPr>
        <w:t xml:space="preserve"> (2011). </w:t>
      </w:r>
      <w:proofErr w:type="spellStart"/>
      <w:r w:rsidR="00D0173C" w:rsidRPr="005B2E32">
        <w:rPr>
          <w:rFonts w:ascii="Times New Roman" w:eastAsia="Times New Roman" w:hAnsi="Times New Roman" w:cs="Times New Roman"/>
          <w:lang w:eastAsia="fr-FR"/>
        </w:rPr>
        <w:t>Coming</w:t>
      </w:r>
      <w:proofErr w:type="spellEnd"/>
      <w:r w:rsidR="00D0173C" w:rsidRPr="005B2E32">
        <w:rPr>
          <w:rFonts w:ascii="Times New Roman" w:eastAsia="Times New Roman" w:hAnsi="Times New Roman" w:cs="Times New Roman"/>
          <w:lang w:eastAsia="fr-FR"/>
        </w:rPr>
        <w:t xml:space="preserve"> </w:t>
      </w:r>
      <w:proofErr w:type="gramStart"/>
      <w:r w:rsidR="00D0173C" w:rsidRPr="005B2E32">
        <w:rPr>
          <w:rFonts w:ascii="Times New Roman" w:eastAsia="Times New Roman" w:hAnsi="Times New Roman" w:cs="Times New Roman"/>
          <w:lang w:eastAsia="fr-FR"/>
        </w:rPr>
        <w:t>clean:</w:t>
      </w:r>
      <w:proofErr w:type="gramEnd"/>
      <w:r w:rsidR="00D0173C" w:rsidRPr="005B2E32">
        <w:rPr>
          <w:rFonts w:ascii="Times New Roman" w:eastAsia="Times New Roman" w:hAnsi="Times New Roman" w:cs="Times New Roman"/>
          <w:lang w:eastAsia="fr-FR"/>
        </w:rPr>
        <w:t xml:space="preserve"> T</w:t>
      </w:r>
      <w:r w:rsidR="00EB3251" w:rsidRPr="005B2E32">
        <w:rPr>
          <w:rFonts w:ascii="Times New Roman" w:eastAsia="Times New Roman" w:hAnsi="Times New Roman" w:cs="Times New Roman"/>
          <w:lang w:eastAsia="fr-FR"/>
        </w:rPr>
        <w:t xml:space="preserve">he impact of </w:t>
      </w:r>
      <w:proofErr w:type="spellStart"/>
      <w:r w:rsidR="00EB3251" w:rsidRPr="005B2E32">
        <w:rPr>
          <w:rFonts w:ascii="Times New Roman" w:eastAsia="Times New Roman" w:hAnsi="Times New Roman" w:cs="Times New Roman"/>
          <w:lang w:eastAsia="fr-FR"/>
        </w:rPr>
        <w:t>environmental</w:t>
      </w:r>
      <w:proofErr w:type="spellEnd"/>
      <w:r w:rsidR="00EB3251" w:rsidRPr="005B2E32">
        <w:rPr>
          <w:rFonts w:ascii="Times New Roman" w:eastAsia="Times New Roman" w:hAnsi="Times New Roman" w:cs="Times New Roman"/>
          <w:lang w:eastAsia="fr-FR"/>
        </w:rPr>
        <w:t xml:space="preserve"> performance and </w:t>
      </w:r>
      <w:proofErr w:type="spellStart"/>
      <w:r w:rsidR="00EB3251" w:rsidRPr="005B2E32">
        <w:rPr>
          <w:rFonts w:ascii="Times New Roman" w:eastAsia="Times New Roman" w:hAnsi="Times New Roman" w:cs="Times New Roman"/>
          <w:lang w:eastAsia="fr-FR"/>
        </w:rPr>
        <w:t>visibility</w:t>
      </w:r>
      <w:proofErr w:type="spellEnd"/>
      <w:r w:rsidR="00EB3251" w:rsidRPr="005B2E32">
        <w:rPr>
          <w:rFonts w:ascii="Times New Roman" w:eastAsia="Times New Roman" w:hAnsi="Times New Roman" w:cs="Times New Roman"/>
          <w:lang w:eastAsia="fr-FR"/>
        </w:rPr>
        <w:t xml:space="preserve"> on </w:t>
      </w:r>
      <w:proofErr w:type="spellStart"/>
      <w:r w:rsidR="00EB3251" w:rsidRPr="005B2E32">
        <w:rPr>
          <w:rFonts w:ascii="Times New Roman" w:eastAsia="Times New Roman" w:hAnsi="Times New Roman" w:cs="Times New Roman"/>
          <w:lang w:eastAsia="fr-FR"/>
        </w:rPr>
        <w:t>corpor</w:t>
      </w:r>
      <w:r w:rsidRPr="005B2E32">
        <w:rPr>
          <w:rFonts w:ascii="Times New Roman" w:eastAsia="Times New Roman" w:hAnsi="Times New Roman" w:cs="Times New Roman"/>
          <w:lang w:eastAsia="fr-FR"/>
        </w:rPr>
        <w:t>ate</w:t>
      </w:r>
      <w:proofErr w:type="spellEnd"/>
      <w:r w:rsidRPr="005B2E32">
        <w:rPr>
          <w:rFonts w:ascii="Times New Roman" w:eastAsia="Times New Roman" w:hAnsi="Times New Roman" w:cs="Times New Roman"/>
          <w:lang w:eastAsia="fr-FR"/>
        </w:rPr>
        <w:t xml:space="preserve"> </w:t>
      </w:r>
      <w:proofErr w:type="spellStart"/>
      <w:r w:rsidRPr="005B2E32">
        <w:rPr>
          <w:rFonts w:ascii="Times New Roman" w:eastAsia="Times New Roman" w:hAnsi="Times New Roman" w:cs="Times New Roman"/>
          <w:lang w:eastAsia="fr-FR"/>
        </w:rPr>
        <w:t>climate</w:t>
      </w:r>
      <w:proofErr w:type="spellEnd"/>
      <w:r w:rsidRPr="005B2E32">
        <w:rPr>
          <w:rFonts w:ascii="Times New Roman" w:eastAsia="Times New Roman" w:hAnsi="Times New Roman" w:cs="Times New Roman"/>
          <w:lang w:eastAsia="fr-FR"/>
        </w:rPr>
        <w:t xml:space="preserve"> change </w:t>
      </w:r>
      <w:proofErr w:type="spellStart"/>
      <w:r w:rsidRPr="005B2E32">
        <w:rPr>
          <w:rFonts w:ascii="Times New Roman" w:eastAsia="Times New Roman" w:hAnsi="Times New Roman" w:cs="Times New Roman"/>
          <w:lang w:eastAsia="fr-FR"/>
        </w:rPr>
        <w:t>disclosure</w:t>
      </w:r>
      <w:proofErr w:type="spellEnd"/>
      <w:r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i/>
          <w:lang w:eastAsia="fr-FR"/>
        </w:rPr>
        <w:t xml:space="preserve">Journal of Business </w:t>
      </w:r>
      <w:proofErr w:type="spellStart"/>
      <w:r w:rsidR="00EB3251" w:rsidRPr="005B2E32">
        <w:rPr>
          <w:rFonts w:ascii="Times New Roman" w:eastAsia="Times New Roman" w:hAnsi="Times New Roman" w:cs="Times New Roman"/>
          <w:i/>
          <w:lang w:eastAsia="fr-FR"/>
        </w:rPr>
        <w:t>Ethics</w:t>
      </w:r>
      <w:proofErr w:type="spellEnd"/>
      <w:r w:rsidRPr="005B2E32">
        <w:rPr>
          <w:rFonts w:ascii="Times New Roman" w:eastAsia="Times New Roman" w:hAnsi="Times New Roman" w:cs="Times New Roman"/>
          <w:lang w:eastAsia="fr-FR"/>
        </w:rPr>
        <w:t xml:space="preserve"> </w:t>
      </w:r>
      <w:proofErr w:type="gramStart"/>
      <w:r w:rsidRPr="005B2E32">
        <w:rPr>
          <w:rFonts w:ascii="Times New Roman" w:eastAsia="Times New Roman" w:hAnsi="Times New Roman" w:cs="Times New Roman"/>
          <w:lang w:eastAsia="fr-FR"/>
        </w:rPr>
        <w:t>100:</w:t>
      </w:r>
      <w:proofErr w:type="gramEnd"/>
      <w:r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lang w:eastAsia="fr-FR"/>
        </w:rPr>
        <w:t>303-322.</w:t>
      </w:r>
    </w:p>
    <w:p w:rsidR="00EB3251" w:rsidRPr="005B2E32" w:rsidRDefault="006B11A5" w:rsidP="005B2E32">
      <w:pPr>
        <w:spacing w:after="0" w:line="480" w:lineRule="auto"/>
        <w:jc w:val="both"/>
        <w:outlineLvl w:val="2"/>
        <w:rPr>
          <w:rFonts w:ascii="Times New Roman" w:eastAsia="Times New Roman" w:hAnsi="Times New Roman" w:cs="Times New Roman"/>
          <w:lang w:eastAsia="fr-FR"/>
        </w:rPr>
      </w:pPr>
      <w:proofErr w:type="spellStart"/>
      <w:r w:rsidRPr="005B2E32">
        <w:rPr>
          <w:rFonts w:ascii="Times New Roman" w:eastAsia="Times New Roman" w:hAnsi="Times New Roman" w:cs="Times New Roman"/>
          <w:lang w:eastAsia="fr-FR"/>
        </w:rPr>
        <w:t>Deegan</w:t>
      </w:r>
      <w:proofErr w:type="spellEnd"/>
      <w:r w:rsidRPr="005B2E32">
        <w:rPr>
          <w:rFonts w:ascii="Times New Roman" w:eastAsia="Times New Roman" w:hAnsi="Times New Roman" w:cs="Times New Roman"/>
          <w:lang w:eastAsia="fr-FR"/>
        </w:rPr>
        <w:t xml:space="preserve">, C. (2002). </w:t>
      </w:r>
      <w:r w:rsidR="00EB3251" w:rsidRPr="005B2E32">
        <w:rPr>
          <w:rFonts w:ascii="Times New Roman" w:eastAsia="Times New Roman" w:hAnsi="Times New Roman" w:cs="Times New Roman"/>
          <w:lang w:eastAsia="fr-FR"/>
        </w:rPr>
        <w:t xml:space="preserve">The </w:t>
      </w:r>
      <w:proofErr w:type="spellStart"/>
      <w:r w:rsidR="00EB3251" w:rsidRPr="005B2E32">
        <w:rPr>
          <w:rFonts w:ascii="Times New Roman" w:eastAsia="Times New Roman" w:hAnsi="Times New Roman" w:cs="Times New Roman"/>
          <w:lang w:eastAsia="fr-FR"/>
        </w:rPr>
        <w:t>legitimising</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effect</w:t>
      </w:r>
      <w:proofErr w:type="spellEnd"/>
      <w:r w:rsidR="00EB3251" w:rsidRPr="005B2E32">
        <w:rPr>
          <w:rFonts w:ascii="Times New Roman" w:eastAsia="Times New Roman" w:hAnsi="Times New Roman" w:cs="Times New Roman"/>
          <w:lang w:eastAsia="fr-FR"/>
        </w:rPr>
        <w:t xml:space="preserve"> of social and </w:t>
      </w:r>
      <w:proofErr w:type="spellStart"/>
      <w:r w:rsidR="00EB3251" w:rsidRPr="005B2E32">
        <w:rPr>
          <w:rFonts w:ascii="Times New Roman" w:eastAsia="Times New Roman" w:hAnsi="Times New Roman" w:cs="Times New Roman"/>
          <w:lang w:eastAsia="fr-FR"/>
        </w:rPr>
        <w:t>environmental</w:t>
      </w:r>
      <w:proofErr w:type="spellEnd"/>
      <w:r w:rsidR="00EB3251" w:rsidRPr="005B2E32">
        <w:rPr>
          <w:rFonts w:ascii="Times New Roman" w:eastAsia="Times New Roman" w:hAnsi="Times New Roman" w:cs="Times New Roman"/>
          <w:lang w:eastAsia="fr-FR"/>
        </w:rPr>
        <w:t xml:space="preserve"> </w:t>
      </w:r>
      <w:proofErr w:type="spellStart"/>
      <w:proofErr w:type="gramStart"/>
      <w:r w:rsidR="00EB3251" w:rsidRPr="005B2E32">
        <w:rPr>
          <w:rFonts w:ascii="Times New Roman" w:eastAsia="Times New Roman" w:hAnsi="Times New Roman" w:cs="Times New Roman"/>
          <w:lang w:eastAsia="fr-FR"/>
        </w:rPr>
        <w:t>disclos</w:t>
      </w:r>
      <w:r w:rsidRPr="005B2E32">
        <w:rPr>
          <w:rFonts w:ascii="Times New Roman" w:eastAsia="Times New Roman" w:hAnsi="Times New Roman" w:cs="Times New Roman"/>
          <w:lang w:eastAsia="fr-FR"/>
        </w:rPr>
        <w:t>ures</w:t>
      </w:r>
      <w:proofErr w:type="spellEnd"/>
      <w:r w:rsidRPr="005B2E32">
        <w:rPr>
          <w:rFonts w:ascii="Times New Roman" w:eastAsia="Times New Roman" w:hAnsi="Times New Roman" w:cs="Times New Roman"/>
          <w:lang w:eastAsia="fr-FR"/>
        </w:rPr>
        <w:t>:</w:t>
      </w:r>
      <w:proofErr w:type="gramEnd"/>
      <w:r w:rsidRPr="005B2E32">
        <w:rPr>
          <w:rFonts w:ascii="Times New Roman" w:eastAsia="Times New Roman" w:hAnsi="Times New Roman" w:cs="Times New Roman"/>
          <w:lang w:eastAsia="fr-FR"/>
        </w:rPr>
        <w:t xml:space="preserve"> A </w:t>
      </w:r>
      <w:proofErr w:type="spellStart"/>
      <w:r w:rsidRPr="005B2E32">
        <w:rPr>
          <w:rFonts w:ascii="Times New Roman" w:eastAsia="Times New Roman" w:hAnsi="Times New Roman" w:cs="Times New Roman"/>
          <w:lang w:eastAsia="fr-FR"/>
        </w:rPr>
        <w:t>theorical</w:t>
      </w:r>
      <w:proofErr w:type="spellEnd"/>
      <w:r w:rsidRPr="005B2E32">
        <w:rPr>
          <w:rFonts w:ascii="Times New Roman" w:eastAsia="Times New Roman" w:hAnsi="Times New Roman" w:cs="Times New Roman"/>
          <w:lang w:eastAsia="fr-FR"/>
        </w:rPr>
        <w:t xml:space="preserve"> </w:t>
      </w:r>
      <w:proofErr w:type="spellStart"/>
      <w:r w:rsidRPr="005B2E32">
        <w:rPr>
          <w:rFonts w:ascii="Times New Roman" w:eastAsia="Times New Roman" w:hAnsi="Times New Roman" w:cs="Times New Roman"/>
          <w:lang w:eastAsia="fr-FR"/>
        </w:rPr>
        <w:t>foundation</w:t>
      </w:r>
      <w:proofErr w:type="spellEnd"/>
      <w:r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i/>
          <w:lang w:eastAsia="fr-FR"/>
        </w:rPr>
        <w:t>Accounting</w:t>
      </w:r>
      <w:proofErr w:type="spellEnd"/>
      <w:r w:rsidR="00EB3251" w:rsidRPr="005B2E32">
        <w:rPr>
          <w:rFonts w:ascii="Times New Roman" w:eastAsia="Times New Roman" w:hAnsi="Times New Roman" w:cs="Times New Roman"/>
          <w:i/>
          <w:lang w:eastAsia="fr-FR"/>
        </w:rPr>
        <w:t xml:space="preserve"> </w:t>
      </w:r>
      <w:proofErr w:type="spellStart"/>
      <w:r w:rsidR="00EB3251" w:rsidRPr="005B2E32">
        <w:rPr>
          <w:rFonts w:ascii="Times New Roman" w:eastAsia="Times New Roman" w:hAnsi="Times New Roman" w:cs="Times New Roman"/>
          <w:i/>
          <w:lang w:eastAsia="fr-FR"/>
        </w:rPr>
        <w:t>Auditing</w:t>
      </w:r>
      <w:proofErr w:type="spellEnd"/>
      <w:r w:rsidR="00EB3251" w:rsidRPr="005B2E32">
        <w:rPr>
          <w:rFonts w:ascii="Times New Roman" w:eastAsia="Times New Roman" w:hAnsi="Times New Roman" w:cs="Times New Roman"/>
          <w:i/>
          <w:lang w:eastAsia="fr-FR"/>
        </w:rPr>
        <w:t xml:space="preserve"> &amp; </w:t>
      </w:r>
      <w:proofErr w:type="spellStart"/>
      <w:r w:rsidR="00EB3251" w:rsidRPr="005B2E32">
        <w:rPr>
          <w:rFonts w:ascii="Times New Roman" w:eastAsia="Times New Roman" w:hAnsi="Times New Roman" w:cs="Times New Roman"/>
          <w:i/>
          <w:lang w:eastAsia="fr-FR"/>
        </w:rPr>
        <w:t>Accountability</w:t>
      </w:r>
      <w:proofErr w:type="spellEnd"/>
      <w:r w:rsidRPr="005B2E32">
        <w:rPr>
          <w:rFonts w:ascii="Times New Roman" w:eastAsia="Times New Roman" w:hAnsi="Times New Roman" w:cs="Times New Roman"/>
          <w:lang w:eastAsia="fr-FR"/>
        </w:rPr>
        <w:t xml:space="preserve"> 15</w:t>
      </w:r>
      <w:r w:rsidR="00D0173C" w:rsidRPr="005B2E32">
        <w:rPr>
          <w:rFonts w:ascii="Times New Roman" w:eastAsia="Times New Roman" w:hAnsi="Times New Roman" w:cs="Times New Roman"/>
          <w:lang w:eastAsia="fr-FR"/>
        </w:rPr>
        <w:t xml:space="preserve"> </w:t>
      </w:r>
      <w:r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3</w:t>
      </w:r>
      <w:proofErr w:type="gramStart"/>
      <w:r w:rsidRPr="005B2E32">
        <w:rPr>
          <w:rFonts w:ascii="Times New Roman" w:eastAsia="Times New Roman" w:hAnsi="Times New Roman" w:cs="Times New Roman"/>
          <w:lang w:eastAsia="fr-FR"/>
        </w:rPr>
        <w:t>):</w:t>
      </w:r>
      <w:proofErr w:type="gramEnd"/>
      <w:r w:rsidR="00EB3251" w:rsidRPr="005B2E32">
        <w:rPr>
          <w:rFonts w:ascii="Times New Roman" w:eastAsia="Times New Roman" w:hAnsi="Times New Roman" w:cs="Times New Roman"/>
          <w:lang w:eastAsia="fr-FR"/>
        </w:rPr>
        <w:t xml:space="preserve"> 282-311.</w:t>
      </w:r>
    </w:p>
    <w:p w:rsidR="00EB3251" w:rsidRPr="005B2E32" w:rsidRDefault="00D0173C" w:rsidP="005B2E32">
      <w:pPr>
        <w:spacing w:after="0" w:line="480" w:lineRule="auto"/>
        <w:jc w:val="both"/>
        <w:outlineLvl w:val="2"/>
        <w:rPr>
          <w:rFonts w:ascii="Times New Roman" w:eastAsia="Times New Roman" w:hAnsi="Times New Roman" w:cs="Times New Roman"/>
          <w:lang w:eastAsia="fr-FR"/>
        </w:rPr>
      </w:pPr>
      <w:proofErr w:type="spellStart"/>
      <w:r w:rsidRPr="005B2E32">
        <w:rPr>
          <w:rFonts w:ascii="Times New Roman" w:eastAsia="Times New Roman" w:hAnsi="Times New Roman" w:cs="Times New Roman"/>
          <w:lang w:eastAsia="fr-FR"/>
        </w:rPr>
        <w:lastRenderedPageBreak/>
        <w:t>Depoers</w:t>
      </w:r>
      <w:proofErr w:type="spellEnd"/>
      <w:r w:rsidRPr="005B2E32">
        <w:rPr>
          <w:rFonts w:ascii="Times New Roman" w:eastAsia="Times New Roman" w:hAnsi="Times New Roman" w:cs="Times New Roman"/>
          <w:lang w:eastAsia="fr-FR"/>
        </w:rPr>
        <w:t xml:space="preserve">, F., </w:t>
      </w:r>
      <w:proofErr w:type="spellStart"/>
      <w:r w:rsidRPr="005B2E32">
        <w:rPr>
          <w:rFonts w:ascii="Times New Roman" w:eastAsia="Times New Roman" w:hAnsi="Times New Roman" w:cs="Times New Roman"/>
          <w:lang w:eastAsia="fr-FR"/>
        </w:rPr>
        <w:t>Jeanjean</w:t>
      </w:r>
      <w:proofErr w:type="spellEnd"/>
      <w:r w:rsidRPr="005B2E32">
        <w:rPr>
          <w:rFonts w:ascii="Times New Roman" w:eastAsia="Times New Roman" w:hAnsi="Times New Roman" w:cs="Times New Roman"/>
          <w:lang w:eastAsia="fr-FR"/>
        </w:rPr>
        <w:t xml:space="preserve">, T., Jérôme, T. (2016). </w:t>
      </w:r>
      <w:proofErr w:type="spellStart"/>
      <w:r w:rsidR="00EB3251" w:rsidRPr="005B2E32">
        <w:rPr>
          <w:rFonts w:ascii="Times New Roman" w:eastAsia="Times New Roman" w:hAnsi="Times New Roman" w:cs="Times New Roman"/>
          <w:lang w:eastAsia="fr-FR"/>
        </w:rPr>
        <w:t>Voluntary</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disclos</w:t>
      </w:r>
      <w:r w:rsidRPr="005B2E32">
        <w:rPr>
          <w:rFonts w:ascii="Times New Roman" w:eastAsia="Times New Roman" w:hAnsi="Times New Roman" w:cs="Times New Roman"/>
          <w:lang w:eastAsia="fr-FR"/>
        </w:rPr>
        <w:t>ure</w:t>
      </w:r>
      <w:proofErr w:type="spellEnd"/>
      <w:r w:rsidRPr="005B2E32">
        <w:rPr>
          <w:rFonts w:ascii="Times New Roman" w:eastAsia="Times New Roman" w:hAnsi="Times New Roman" w:cs="Times New Roman"/>
          <w:lang w:eastAsia="fr-FR"/>
        </w:rPr>
        <w:t xml:space="preserve"> of </w:t>
      </w:r>
      <w:proofErr w:type="spellStart"/>
      <w:r w:rsidRPr="005B2E32">
        <w:rPr>
          <w:rFonts w:ascii="Times New Roman" w:eastAsia="Times New Roman" w:hAnsi="Times New Roman" w:cs="Times New Roman"/>
          <w:lang w:eastAsia="fr-FR"/>
        </w:rPr>
        <w:t>greenhouse</w:t>
      </w:r>
      <w:proofErr w:type="spellEnd"/>
      <w:r w:rsidRPr="005B2E32">
        <w:rPr>
          <w:rFonts w:ascii="Times New Roman" w:eastAsia="Times New Roman" w:hAnsi="Times New Roman" w:cs="Times New Roman"/>
          <w:lang w:eastAsia="fr-FR"/>
        </w:rPr>
        <w:t xml:space="preserve"> </w:t>
      </w:r>
      <w:proofErr w:type="spellStart"/>
      <w:r w:rsidRPr="005B2E32">
        <w:rPr>
          <w:rFonts w:ascii="Times New Roman" w:eastAsia="Times New Roman" w:hAnsi="Times New Roman" w:cs="Times New Roman"/>
          <w:lang w:eastAsia="fr-FR"/>
        </w:rPr>
        <w:t>gas</w:t>
      </w:r>
      <w:proofErr w:type="spellEnd"/>
      <w:r w:rsidRPr="005B2E32">
        <w:rPr>
          <w:rFonts w:ascii="Times New Roman" w:eastAsia="Times New Roman" w:hAnsi="Times New Roman" w:cs="Times New Roman"/>
          <w:lang w:eastAsia="fr-FR"/>
        </w:rPr>
        <w:t xml:space="preserve"> </w:t>
      </w:r>
      <w:proofErr w:type="spellStart"/>
      <w:proofErr w:type="gramStart"/>
      <w:r w:rsidRPr="005B2E32">
        <w:rPr>
          <w:rFonts w:ascii="Times New Roman" w:eastAsia="Times New Roman" w:hAnsi="Times New Roman" w:cs="Times New Roman"/>
          <w:lang w:eastAsia="fr-FR"/>
        </w:rPr>
        <w:t>emissions</w:t>
      </w:r>
      <w:proofErr w:type="spellEnd"/>
      <w:r w:rsidR="00EB3251" w:rsidRPr="005B2E32">
        <w:rPr>
          <w:rFonts w:ascii="Times New Roman" w:eastAsia="Times New Roman" w:hAnsi="Times New Roman" w:cs="Times New Roman"/>
          <w:lang w:eastAsia="fr-FR"/>
        </w:rPr>
        <w:t>:</w:t>
      </w:r>
      <w:proofErr w:type="gram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Contrasting</w:t>
      </w:r>
      <w:proofErr w:type="spellEnd"/>
      <w:r w:rsidR="00EB3251" w:rsidRPr="005B2E32">
        <w:rPr>
          <w:rFonts w:ascii="Times New Roman" w:eastAsia="Times New Roman" w:hAnsi="Times New Roman" w:cs="Times New Roman"/>
          <w:lang w:eastAsia="fr-FR"/>
        </w:rPr>
        <w:t xml:space="preserve"> the </w:t>
      </w:r>
      <w:proofErr w:type="spellStart"/>
      <w:r w:rsidR="00EB3251" w:rsidRPr="005B2E32">
        <w:rPr>
          <w:rFonts w:ascii="Times New Roman" w:eastAsia="Times New Roman" w:hAnsi="Times New Roman" w:cs="Times New Roman"/>
          <w:lang w:eastAsia="fr-FR"/>
        </w:rPr>
        <w:t>Carbon</w:t>
      </w:r>
      <w:proofErr w:type="spellEnd"/>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Disclosure</w:t>
      </w:r>
      <w:proofErr w:type="spellEnd"/>
      <w:r w:rsidR="00EB3251" w:rsidRPr="005B2E32">
        <w:rPr>
          <w:rFonts w:ascii="Times New Roman" w:eastAsia="Times New Roman" w:hAnsi="Times New Roman" w:cs="Times New Roman"/>
          <w:lang w:eastAsia="fr-FR"/>
        </w:rPr>
        <w:t xml:space="preserve"> Project an</w:t>
      </w:r>
      <w:r w:rsidRPr="005B2E32">
        <w:rPr>
          <w:rFonts w:ascii="Times New Roman" w:eastAsia="Times New Roman" w:hAnsi="Times New Roman" w:cs="Times New Roman"/>
          <w:lang w:eastAsia="fr-FR"/>
        </w:rPr>
        <w:t xml:space="preserve">d </w:t>
      </w:r>
      <w:proofErr w:type="spellStart"/>
      <w:r w:rsidRPr="005B2E32">
        <w:rPr>
          <w:rFonts w:ascii="Times New Roman" w:eastAsia="Times New Roman" w:hAnsi="Times New Roman" w:cs="Times New Roman"/>
          <w:lang w:eastAsia="fr-FR"/>
        </w:rPr>
        <w:t>corporate</w:t>
      </w:r>
      <w:proofErr w:type="spellEnd"/>
      <w:r w:rsidRPr="005B2E32">
        <w:rPr>
          <w:rFonts w:ascii="Times New Roman" w:eastAsia="Times New Roman" w:hAnsi="Times New Roman" w:cs="Times New Roman"/>
          <w:lang w:eastAsia="fr-FR"/>
        </w:rPr>
        <w:t xml:space="preserve"> reports.</w:t>
      </w:r>
      <w:r w:rsidR="00EB3251"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i/>
          <w:lang w:eastAsia="fr-FR"/>
        </w:rPr>
        <w:t xml:space="preserve">Journal of Business </w:t>
      </w:r>
      <w:proofErr w:type="spellStart"/>
      <w:r w:rsidR="00EB3251" w:rsidRPr="005B2E32">
        <w:rPr>
          <w:rFonts w:ascii="Times New Roman" w:eastAsia="Times New Roman" w:hAnsi="Times New Roman" w:cs="Times New Roman"/>
          <w:i/>
          <w:lang w:eastAsia="fr-FR"/>
        </w:rPr>
        <w:t>Ethics</w:t>
      </w:r>
      <w:proofErr w:type="spellEnd"/>
      <w:r w:rsidRPr="005B2E32">
        <w:rPr>
          <w:rFonts w:ascii="Times New Roman" w:eastAsia="Times New Roman" w:hAnsi="Times New Roman" w:cs="Times New Roman"/>
          <w:lang w:eastAsia="fr-FR"/>
        </w:rPr>
        <w:t xml:space="preserve"> </w:t>
      </w:r>
      <w:proofErr w:type="gramStart"/>
      <w:r w:rsidR="00EB3251" w:rsidRPr="005B2E32">
        <w:rPr>
          <w:rFonts w:ascii="Times New Roman" w:eastAsia="Times New Roman" w:hAnsi="Times New Roman" w:cs="Times New Roman"/>
          <w:lang w:eastAsia="fr-FR"/>
        </w:rPr>
        <w:t>134</w:t>
      </w:r>
      <w:r w:rsidRPr="005B2E32">
        <w:rPr>
          <w:rFonts w:ascii="Times New Roman" w:eastAsia="Times New Roman" w:hAnsi="Times New Roman" w:cs="Times New Roman"/>
          <w:lang w:eastAsia="fr-FR"/>
        </w:rPr>
        <w:t>:</w:t>
      </w:r>
      <w:proofErr w:type="gramEnd"/>
      <w:r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lang w:eastAsia="fr-FR"/>
        </w:rPr>
        <w:t>445-461.</w:t>
      </w:r>
    </w:p>
    <w:p w:rsidR="00EB3251" w:rsidRPr="005B2E32" w:rsidRDefault="00260CF1" w:rsidP="005B2E32">
      <w:pPr>
        <w:spacing w:after="0" w:line="480" w:lineRule="auto"/>
        <w:jc w:val="both"/>
        <w:outlineLvl w:val="2"/>
        <w:rPr>
          <w:rFonts w:ascii="Times New Roman" w:eastAsia="Times New Roman" w:hAnsi="Times New Roman" w:cs="Times New Roman"/>
          <w:lang w:eastAsia="fr-FR"/>
        </w:rPr>
      </w:pPr>
      <w:r w:rsidRPr="005B2E32">
        <w:rPr>
          <w:rFonts w:ascii="Times New Roman" w:eastAsia="Times New Roman" w:hAnsi="Times New Roman" w:cs="Times New Roman"/>
          <w:lang w:eastAsia="fr-FR"/>
        </w:rPr>
        <w:t>D</w:t>
      </w:r>
      <w:r w:rsidR="00D0173C" w:rsidRPr="005B2E32">
        <w:rPr>
          <w:rFonts w:ascii="Times New Roman" w:eastAsia="Times New Roman" w:hAnsi="Times New Roman" w:cs="Times New Roman"/>
          <w:lang w:eastAsia="fr-FR"/>
        </w:rPr>
        <w:t>e Séverac, B.,</w:t>
      </w:r>
      <w:r w:rsidR="00EB3251"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Guinchard-Nascimento</w:t>
      </w:r>
      <w:proofErr w:type="spellEnd"/>
      <w:r w:rsidR="00D0173C" w:rsidRPr="005B2E32">
        <w:rPr>
          <w:rFonts w:ascii="Times New Roman" w:eastAsia="Times New Roman" w:hAnsi="Times New Roman" w:cs="Times New Roman"/>
          <w:lang w:eastAsia="fr-FR"/>
        </w:rPr>
        <w:t xml:space="preserve">, J. (2018). </w:t>
      </w:r>
      <w:r w:rsidR="00EB3251" w:rsidRPr="005B2E32">
        <w:rPr>
          <w:rFonts w:ascii="Times New Roman" w:eastAsia="Times New Roman" w:hAnsi="Times New Roman" w:cs="Times New Roman"/>
          <w:lang w:eastAsia="fr-FR"/>
        </w:rPr>
        <w:t>Informations environnementales publiée</w:t>
      </w:r>
      <w:r w:rsidR="00D0173C" w:rsidRPr="005B2E32">
        <w:rPr>
          <w:rFonts w:ascii="Times New Roman" w:eastAsia="Times New Roman" w:hAnsi="Times New Roman" w:cs="Times New Roman"/>
          <w:lang w:eastAsia="fr-FR"/>
        </w:rPr>
        <w:t xml:space="preserve">s dans le document de </w:t>
      </w:r>
      <w:proofErr w:type="gramStart"/>
      <w:r w:rsidR="00D0173C" w:rsidRPr="005B2E32">
        <w:rPr>
          <w:rFonts w:ascii="Times New Roman" w:eastAsia="Times New Roman" w:hAnsi="Times New Roman" w:cs="Times New Roman"/>
          <w:lang w:eastAsia="fr-FR"/>
        </w:rPr>
        <w:t>référence:</w:t>
      </w:r>
      <w:proofErr w:type="gramEnd"/>
      <w:r w:rsidR="00D0173C" w:rsidRPr="005B2E32">
        <w:rPr>
          <w:rFonts w:ascii="Times New Roman" w:eastAsia="Times New Roman" w:hAnsi="Times New Roman" w:cs="Times New Roman"/>
          <w:lang w:eastAsia="fr-FR"/>
        </w:rPr>
        <w:t xml:space="preserve"> Q</w:t>
      </w:r>
      <w:r w:rsidR="00EB3251" w:rsidRPr="005B2E32">
        <w:rPr>
          <w:rFonts w:ascii="Times New Roman" w:eastAsia="Times New Roman" w:hAnsi="Times New Roman" w:cs="Times New Roman"/>
          <w:lang w:eastAsia="fr-FR"/>
        </w:rPr>
        <w:t>uel impact sur le cours boursier ? Une étude longitudin</w:t>
      </w:r>
      <w:r w:rsidR="00D0173C" w:rsidRPr="005B2E32">
        <w:rPr>
          <w:rFonts w:ascii="Times New Roman" w:eastAsia="Times New Roman" w:hAnsi="Times New Roman" w:cs="Times New Roman"/>
          <w:lang w:eastAsia="fr-FR"/>
        </w:rPr>
        <w:t>ale sur le CAC 40 (2008-2013).</w:t>
      </w:r>
      <w:r w:rsidR="00EB3251"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i/>
          <w:lang w:eastAsia="fr-FR"/>
        </w:rPr>
        <w:t>Management International</w:t>
      </w:r>
      <w:r w:rsidR="00D0173C"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lang w:eastAsia="fr-FR"/>
        </w:rPr>
        <w:t>22</w:t>
      </w:r>
      <w:r w:rsidR="00D0173C"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lang w:eastAsia="fr-FR"/>
        </w:rPr>
        <w:t>3</w:t>
      </w:r>
      <w:proofErr w:type="gramStart"/>
      <w:r w:rsidR="00D0173C" w:rsidRPr="005B2E32">
        <w:rPr>
          <w:rFonts w:ascii="Times New Roman" w:eastAsia="Times New Roman" w:hAnsi="Times New Roman" w:cs="Times New Roman"/>
          <w:lang w:eastAsia="fr-FR"/>
        </w:rPr>
        <w:t>):</w:t>
      </w:r>
      <w:proofErr w:type="gramEnd"/>
      <w:r w:rsidR="00D0173C"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lang w:eastAsia="fr-FR"/>
        </w:rPr>
        <w:t>79-94.</w:t>
      </w:r>
    </w:p>
    <w:p w:rsidR="00EB3251" w:rsidRPr="005B2E32" w:rsidRDefault="00D0173C" w:rsidP="005B2E32">
      <w:pPr>
        <w:spacing w:after="0" w:line="480" w:lineRule="auto"/>
        <w:jc w:val="both"/>
        <w:rPr>
          <w:rFonts w:ascii="Times New Roman" w:hAnsi="Times New Roman" w:cs="Times New Roman"/>
        </w:rPr>
      </w:pPr>
      <w:r w:rsidRPr="005B2E32">
        <w:rPr>
          <w:rFonts w:ascii="Times New Roman" w:hAnsi="Times New Roman" w:cs="Times New Roman"/>
        </w:rPr>
        <w:t>De Villiers, C.,</w:t>
      </w:r>
      <w:r w:rsidR="00EB3251" w:rsidRPr="005B2E32">
        <w:rPr>
          <w:rFonts w:ascii="Times New Roman" w:hAnsi="Times New Roman" w:cs="Times New Roman"/>
        </w:rPr>
        <w:t xml:space="preserve"> Marque</w:t>
      </w:r>
      <w:r w:rsidRPr="005B2E32">
        <w:rPr>
          <w:rFonts w:ascii="Times New Roman" w:hAnsi="Times New Roman" w:cs="Times New Roman"/>
        </w:rPr>
        <w:t xml:space="preserve">s, A. (2016). </w:t>
      </w:r>
      <w:proofErr w:type="spellStart"/>
      <w:r w:rsidR="00EB3251" w:rsidRPr="005B2E32">
        <w:rPr>
          <w:rFonts w:ascii="Times New Roman" w:hAnsi="Times New Roman" w:cs="Times New Roman"/>
        </w:rPr>
        <w:t>Corporate</w:t>
      </w:r>
      <w:proofErr w:type="spellEnd"/>
      <w:r w:rsidR="00EB3251" w:rsidRPr="005B2E32">
        <w:rPr>
          <w:rFonts w:ascii="Times New Roman" w:hAnsi="Times New Roman" w:cs="Times New Roman"/>
        </w:rPr>
        <w:t xml:space="preserve"> social </w:t>
      </w:r>
      <w:proofErr w:type="spellStart"/>
      <w:r w:rsidR="00EB3251" w:rsidRPr="005B2E32">
        <w:rPr>
          <w:rFonts w:ascii="Times New Roman" w:hAnsi="Times New Roman" w:cs="Times New Roman"/>
        </w:rPr>
        <w:t>responsibility</w:t>
      </w:r>
      <w:proofErr w:type="spellEnd"/>
      <w:r w:rsidR="00EB3251" w:rsidRPr="005B2E32">
        <w:rPr>
          <w:rFonts w:ascii="Times New Roman" w:hAnsi="Times New Roman" w:cs="Times New Roman"/>
        </w:rPr>
        <w:t>, country-</w:t>
      </w:r>
      <w:proofErr w:type="spellStart"/>
      <w:r w:rsidR="00EB3251" w:rsidRPr="005B2E32">
        <w:rPr>
          <w:rFonts w:ascii="Times New Roman" w:hAnsi="Times New Roman" w:cs="Times New Roman"/>
        </w:rPr>
        <w:t>level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predispositions</w:t>
      </w:r>
      <w:proofErr w:type="spellEnd"/>
      <w:r w:rsidR="00EB3251" w:rsidRPr="005B2E32">
        <w:rPr>
          <w:rFonts w:ascii="Times New Roman" w:hAnsi="Times New Roman" w:cs="Times New Roman"/>
        </w:rPr>
        <w:t xml:space="preserve">, and the </w:t>
      </w:r>
      <w:proofErr w:type="spellStart"/>
      <w:r w:rsidR="00EB3251" w:rsidRPr="005B2E32">
        <w:rPr>
          <w:rFonts w:ascii="Times New Roman" w:hAnsi="Times New Roman" w:cs="Times New Roman"/>
        </w:rPr>
        <w:t>consequences</w:t>
      </w:r>
      <w:proofErr w:type="spellEnd"/>
      <w:r w:rsidR="00EB3251" w:rsidRPr="005B2E32">
        <w:rPr>
          <w:rFonts w:ascii="Times New Roman" w:hAnsi="Times New Roman" w:cs="Times New Roman"/>
        </w:rPr>
        <w:t xml:space="preserve"> of </w:t>
      </w:r>
      <w:proofErr w:type="spellStart"/>
      <w:r w:rsidR="00EB3251" w:rsidRPr="005B2E32">
        <w:rPr>
          <w:rFonts w:ascii="Times New Roman" w:hAnsi="Times New Roman" w:cs="Times New Roman"/>
        </w:rPr>
        <w:t>c</w:t>
      </w:r>
      <w:r w:rsidRPr="005B2E32">
        <w:rPr>
          <w:rFonts w:ascii="Times New Roman" w:hAnsi="Times New Roman" w:cs="Times New Roman"/>
        </w:rPr>
        <w:t>hoosing</w:t>
      </w:r>
      <w:proofErr w:type="spellEnd"/>
      <w:r w:rsidRPr="005B2E32">
        <w:rPr>
          <w:rFonts w:ascii="Times New Roman" w:hAnsi="Times New Roman" w:cs="Times New Roman"/>
        </w:rPr>
        <w:t xml:space="preserve"> a </w:t>
      </w:r>
      <w:proofErr w:type="spellStart"/>
      <w:r w:rsidRPr="005B2E32">
        <w:rPr>
          <w:rFonts w:ascii="Times New Roman" w:hAnsi="Times New Roman" w:cs="Times New Roman"/>
        </w:rPr>
        <w:t>level</w:t>
      </w:r>
      <w:proofErr w:type="spellEnd"/>
      <w:r w:rsidRPr="005B2E32">
        <w:rPr>
          <w:rFonts w:ascii="Times New Roman" w:hAnsi="Times New Roman" w:cs="Times New Roman"/>
        </w:rPr>
        <w:t xml:space="preserve"> of </w:t>
      </w:r>
      <w:proofErr w:type="spellStart"/>
      <w:r w:rsidRPr="005B2E32">
        <w:rPr>
          <w:rFonts w:ascii="Times New Roman" w:hAnsi="Times New Roman" w:cs="Times New Roman"/>
        </w:rPr>
        <w:t>disclosure</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and Business </w:t>
      </w:r>
      <w:proofErr w:type="spellStart"/>
      <w:r w:rsidR="00EB3251" w:rsidRPr="005B2E32">
        <w:rPr>
          <w:rFonts w:ascii="Times New Roman" w:hAnsi="Times New Roman" w:cs="Times New Roman"/>
          <w:i/>
        </w:rPr>
        <w:t>Research</w:t>
      </w:r>
      <w:proofErr w:type="spellEnd"/>
      <w:r w:rsidRPr="005B2E32">
        <w:rPr>
          <w:rFonts w:ascii="Times New Roman" w:hAnsi="Times New Roman" w:cs="Times New Roman"/>
        </w:rPr>
        <w:t xml:space="preserve"> </w:t>
      </w:r>
      <w:proofErr w:type="gramStart"/>
      <w:r w:rsidRPr="005B2E32">
        <w:rPr>
          <w:rFonts w:ascii="Times New Roman" w:hAnsi="Times New Roman" w:cs="Times New Roman"/>
        </w:rPr>
        <w:t>46:</w:t>
      </w:r>
      <w:proofErr w:type="gramEnd"/>
      <w:r w:rsidRPr="005B2E32">
        <w:rPr>
          <w:rFonts w:ascii="Times New Roman" w:hAnsi="Times New Roman" w:cs="Times New Roman"/>
        </w:rPr>
        <w:t xml:space="preserve"> </w:t>
      </w:r>
      <w:r w:rsidR="00EB3251" w:rsidRPr="005B2E32">
        <w:rPr>
          <w:rFonts w:ascii="Times New Roman" w:hAnsi="Times New Roman" w:cs="Times New Roman"/>
        </w:rPr>
        <w:t>167–195.</w:t>
      </w:r>
    </w:p>
    <w:p w:rsidR="00EB3251" w:rsidRPr="005B2E32" w:rsidRDefault="00D0173C" w:rsidP="005B2E32">
      <w:pPr>
        <w:spacing w:after="0" w:line="480" w:lineRule="auto"/>
        <w:jc w:val="both"/>
        <w:outlineLvl w:val="2"/>
        <w:rPr>
          <w:rFonts w:ascii="Times New Roman" w:eastAsia="Times New Roman" w:hAnsi="Times New Roman" w:cs="Times New Roman"/>
          <w:bCs/>
          <w:lang w:eastAsia="fr-FR"/>
        </w:rPr>
      </w:pPr>
      <w:r w:rsidRPr="005B2E32">
        <w:rPr>
          <w:rFonts w:ascii="Times New Roman" w:eastAsia="Times New Roman" w:hAnsi="Times New Roman" w:cs="Times New Roman"/>
          <w:bCs/>
          <w:lang w:eastAsia="fr-FR"/>
        </w:rPr>
        <w:t xml:space="preserve">De </w:t>
      </w:r>
      <w:proofErr w:type="spellStart"/>
      <w:r w:rsidRPr="005B2E32">
        <w:rPr>
          <w:rFonts w:ascii="Times New Roman" w:eastAsia="Times New Roman" w:hAnsi="Times New Roman" w:cs="Times New Roman"/>
          <w:bCs/>
          <w:lang w:eastAsia="fr-FR"/>
        </w:rPr>
        <w:t>Villier</w:t>
      </w:r>
      <w:proofErr w:type="spellEnd"/>
      <w:r w:rsidRPr="005B2E32">
        <w:rPr>
          <w:rFonts w:ascii="Times New Roman" w:eastAsia="Times New Roman" w:hAnsi="Times New Roman" w:cs="Times New Roman"/>
          <w:bCs/>
          <w:lang w:eastAsia="fr-FR"/>
        </w:rPr>
        <w:t xml:space="preserve">, C., Van Staden, C. J. (2006). </w:t>
      </w:r>
      <w:r w:rsidR="00EB3251" w:rsidRPr="005B2E32">
        <w:rPr>
          <w:rFonts w:ascii="Times New Roman" w:eastAsia="Times New Roman" w:hAnsi="Times New Roman" w:cs="Times New Roman"/>
          <w:bCs/>
          <w:lang w:eastAsia="fr-FR"/>
        </w:rPr>
        <w:t xml:space="preserve">Can </w:t>
      </w:r>
      <w:proofErr w:type="spellStart"/>
      <w:r w:rsidR="00EB3251" w:rsidRPr="005B2E32">
        <w:rPr>
          <w:rFonts w:ascii="Times New Roman" w:eastAsia="Times New Roman" w:hAnsi="Times New Roman" w:cs="Times New Roman"/>
          <w:bCs/>
          <w:lang w:eastAsia="fr-FR"/>
        </w:rPr>
        <w:t>less</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environmental</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disclosure</w:t>
      </w:r>
      <w:proofErr w:type="spellEnd"/>
      <w:r w:rsidR="00EB3251" w:rsidRPr="005B2E32">
        <w:rPr>
          <w:rFonts w:ascii="Times New Roman" w:eastAsia="Times New Roman" w:hAnsi="Times New Roman" w:cs="Times New Roman"/>
          <w:bCs/>
          <w:lang w:eastAsia="fr-FR"/>
        </w:rPr>
        <w:t xml:space="preserve"> have a </w:t>
      </w:r>
      <w:proofErr w:type="spellStart"/>
      <w:r w:rsidR="00EB3251" w:rsidRPr="005B2E32">
        <w:rPr>
          <w:rFonts w:ascii="Times New Roman" w:eastAsia="Times New Roman" w:hAnsi="Times New Roman" w:cs="Times New Roman"/>
          <w:bCs/>
          <w:lang w:eastAsia="fr-FR"/>
        </w:rPr>
        <w:t>legitimising</w:t>
      </w:r>
      <w:proofErr w:type="spellEnd"/>
      <w:r w:rsidR="00EB3251" w:rsidRPr="005B2E32">
        <w:rPr>
          <w:rFonts w:ascii="Times New Roman" w:eastAsia="Times New Roman" w:hAnsi="Times New Roman" w:cs="Times New Roman"/>
          <w:bCs/>
          <w:lang w:eastAsia="fr-FR"/>
        </w:rPr>
        <w:t xml:space="preserve"> </w:t>
      </w:r>
      <w:proofErr w:type="spellStart"/>
      <w:r w:rsidRPr="005B2E32">
        <w:rPr>
          <w:rFonts w:ascii="Times New Roman" w:eastAsia="Times New Roman" w:hAnsi="Times New Roman" w:cs="Times New Roman"/>
          <w:bCs/>
          <w:lang w:eastAsia="fr-FR"/>
        </w:rPr>
        <w:t>effect</w:t>
      </w:r>
      <w:proofErr w:type="spellEnd"/>
      <w:r w:rsidRPr="005B2E32">
        <w:rPr>
          <w:rFonts w:ascii="Times New Roman" w:eastAsia="Times New Roman" w:hAnsi="Times New Roman" w:cs="Times New Roman"/>
          <w:bCs/>
          <w:lang w:eastAsia="fr-FR"/>
        </w:rPr>
        <w:t xml:space="preserve"> ? Evidence </w:t>
      </w:r>
      <w:proofErr w:type="spellStart"/>
      <w:r w:rsidRPr="005B2E32">
        <w:rPr>
          <w:rFonts w:ascii="Times New Roman" w:eastAsia="Times New Roman" w:hAnsi="Times New Roman" w:cs="Times New Roman"/>
          <w:bCs/>
          <w:lang w:eastAsia="fr-FR"/>
        </w:rPr>
        <w:t>from</w:t>
      </w:r>
      <w:proofErr w:type="spellEnd"/>
      <w:r w:rsidRPr="005B2E32">
        <w:rPr>
          <w:rFonts w:ascii="Times New Roman" w:eastAsia="Times New Roman" w:hAnsi="Times New Roman" w:cs="Times New Roman"/>
          <w:bCs/>
          <w:lang w:eastAsia="fr-FR"/>
        </w:rPr>
        <w:t xml:space="preserve"> </w:t>
      </w:r>
      <w:proofErr w:type="spellStart"/>
      <w:r w:rsidRPr="005B2E32">
        <w:rPr>
          <w:rFonts w:ascii="Times New Roman" w:eastAsia="Times New Roman" w:hAnsi="Times New Roman" w:cs="Times New Roman"/>
          <w:bCs/>
          <w:lang w:eastAsia="fr-FR"/>
        </w:rPr>
        <w:t>Africa</w:t>
      </w:r>
      <w:proofErr w:type="spellEnd"/>
      <w:r w:rsidRPr="005B2E32">
        <w:rPr>
          <w:rFonts w:ascii="Times New Roman" w:eastAsia="Times New Roman" w:hAnsi="Times New Roman" w:cs="Times New Roman"/>
          <w:bCs/>
          <w:lang w:eastAsia="fr-FR"/>
        </w:rPr>
        <w:t>.</w:t>
      </w:r>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i/>
          <w:lang w:eastAsia="fr-FR"/>
        </w:rPr>
        <w:t>Accounting</w:t>
      </w:r>
      <w:proofErr w:type="spellEnd"/>
      <w:r w:rsidR="00EB3251" w:rsidRPr="005B2E32">
        <w:rPr>
          <w:rFonts w:ascii="Times New Roman" w:eastAsia="Times New Roman" w:hAnsi="Times New Roman" w:cs="Times New Roman"/>
          <w:bCs/>
          <w:i/>
          <w:lang w:eastAsia="fr-FR"/>
        </w:rPr>
        <w:t xml:space="preserve">, </w:t>
      </w:r>
      <w:proofErr w:type="spellStart"/>
      <w:r w:rsidR="00EB3251" w:rsidRPr="005B2E32">
        <w:rPr>
          <w:rFonts w:ascii="Times New Roman" w:eastAsia="Times New Roman" w:hAnsi="Times New Roman" w:cs="Times New Roman"/>
          <w:bCs/>
          <w:i/>
          <w:lang w:eastAsia="fr-FR"/>
        </w:rPr>
        <w:t>Organizations</w:t>
      </w:r>
      <w:proofErr w:type="spellEnd"/>
      <w:r w:rsidR="00EB3251" w:rsidRPr="005B2E32">
        <w:rPr>
          <w:rFonts w:ascii="Times New Roman" w:eastAsia="Times New Roman" w:hAnsi="Times New Roman" w:cs="Times New Roman"/>
          <w:bCs/>
          <w:i/>
          <w:lang w:eastAsia="fr-FR"/>
        </w:rPr>
        <w:t xml:space="preserve"> and Society</w:t>
      </w:r>
      <w:r w:rsidRPr="005B2E32">
        <w:rPr>
          <w:rFonts w:ascii="Times New Roman" w:eastAsia="Times New Roman" w:hAnsi="Times New Roman" w:cs="Times New Roman"/>
          <w:bCs/>
          <w:lang w:eastAsia="fr-FR"/>
        </w:rPr>
        <w:t xml:space="preserve"> </w:t>
      </w:r>
      <w:proofErr w:type="gramStart"/>
      <w:r w:rsidRPr="005B2E32">
        <w:rPr>
          <w:rFonts w:ascii="Times New Roman" w:eastAsia="Times New Roman" w:hAnsi="Times New Roman" w:cs="Times New Roman"/>
          <w:bCs/>
          <w:lang w:eastAsia="fr-FR"/>
        </w:rPr>
        <w:t>31:</w:t>
      </w:r>
      <w:proofErr w:type="gramEnd"/>
      <w:r w:rsidRPr="005B2E32">
        <w:rPr>
          <w:rFonts w:ascii="Times New Roman" w:eastAsia="Times New Roman" w:hAnsi="Times New Roman" w:cs="Times New Roman"/>
          <w:bCs/>
          <w:lang w:eastAsia="fr-FR"/>
        </w:rPr>
        <w:t xml:space="preserve"> </w:t>
      </w:r>
      <w:r w:rsidR="00EB3251" w:rsidRPr="005B2E32">
        <w:rPr>
          <w:rFonts w:ascii="Times New Roman" w:eastAsia="Times New Roman" w:hAnsi="Times New Roman" w:cs="Times New Roman"/>
          <w:bCs/>
          <w:lang w:eastAsia="fr-FR"/>
        </w:rPr>
        <w:t>763-781.</w:t>
      </w:r>
    </w:p>
    <w:p w:rsidR="00EB3251" w:rsidRPr="005B2E32" w:rsidRDefault="00D0173C" w:rsidP="005B2E32">
      <w:pPr>
        <w:spacing w:after="0" w:line="480" w:lineRule="auto"/>
        <w:jc w:val="both"/>
        <w:outlineLvl w:val="2"/>
        <w:rPr>
          <w:rFonts w:ascii="Times New Roman" w:eastAsia="Times New Roman" w:hAnsi="Times New Roman" w:cs="Times New Roman"/>
          <w:bCs/>
          <w:lang w:eastAsia="fr-FR"/>
        </w:rPr>
      </w:pPr>
      <w:proofErr w:type="spellStart"/>
      <w:r w:rsidRPr="005B2E32">
        <w:rPr>
          <w:rFonts w:ascii="Times New Roman" w:eastAsia="Times New Roman" w:hAnsi="Times New Roman" w:cs="Times New Roman"/>
          <w:bCs/>
          <w:lang w:eastAsia="fr-FR"/>
        </w:rPr>
        <w:t>Dhaliwal</w:t>
      </w:r>
      <w:proofErr w:type="spellEnd"/>
      <w:r w:rsidRPr="005B2E32">
        <w:rPr>
          <w:rFonts w:ascii="Times New Roman" w:eastAsia="Times New Roman" w:hAnsi="Times New Roman" w:cs="Times New Roman"/>
          <w:bCs/>
          <w:lang w:eastAsia="fr-FR"/>
        </w:rPr>
        <w:t>, D. S., Li, O.</w:t>
      </w:r>
      <w:r w:rsidR="00EB3251" w:rsidRPr="005B2E32">
        <w:rPr>
          <w:rFonts w:ascii="Times New Roman" w:eastAsia="Times New Roman" w:hAnsi="Times New Roman" w:cs="Times New Roman"/>
          <w:bCs/>
          <w:lang w:eastAsia="fr-FR"/>
        </w:rPr>
        <w:t xml:space="preserve"> Z.</w:t>
      </w:r>
      <w:r w:rsidRPr="005B2E32">
        <w:rPr>
          <w:rFonts w:ascii="Times New Roman" w:eastAsia="Times New Roman" w:hAnsi="Times New Roman" w:cs="Times New Roman"/>
          <w:bCs/>
          <w:lang w:eastAsia="fr-FR"/>
        </w:rPr>
        <w:t xml:space="preserve">, Tang, A., Yang, G. Y. (2011). </w:t>
      </w:r>
      <w:proofErr w:type="spellStart"/>
      <w:r w:rsidR="00EB3251" w:rsidRPr="005B2E32">
        <w:rPr>
          <w:rFonts w:ascii="Times New Roman" w:eastAsia="Times New Roman" w:hAnsi="Times New Roman" w:cs="Times New Roman"/>
          <w:bCs/>
          <w:lang w:eastAsia="fr-FR"/>
        </w:rPr>
        <w:t>Voluntary</w:t>
      </w:r>
      <w:proofErr w:type="spellEnd"/>
      <w:r w:rsidR="00EB3251" w:rsidRPr="005B2E32">
        <w:rPr>
          <w:rFonts w:ascii="Times New Roman" w:eastAsia="Times New Roman" w:hAnsi="Times New Roman" w:cs="Times New Roman"/>
          <w:bCs/>
          <w:lang w:eastAsia="fr-FR"/>
        </w:rPr>
        <w:t xml:space="preserve"> non-</w:t>
      </w:r>
      <w:proofErr w:type="spellStart"/>
      <w:r w:rsidR="00EB3251" w:rsidRPr="005B2E32">
        <w:rPr>
          <w:rFonts w:ascii="Times New Roman" w:eastAsia="Times New Roman" w:hAnsi="Times New Roman" w:cs="Times New Roman"/>
          <w:bCs/>
          <w:lang w:eastAsia="fr-FR"/>
        </w:rPr>
        <w:t>financial</w:t>
      </w:r>
      <w:proofErr w:type="spellEnd"/>
      <w:r w:rsidR="00EB3251" w:rsidRPr="005B2E32">
        <w:rPr>
          <w:rFonts w:ascii="Times New Roman" w:eastAsia="Times New Roman" w:hAnsi="Times New Roman" w:cs="Times New Roman"/>
          <w:bCs/>
          <w:lang w:eastAsia="fr-FR"/>
        </w:rPr>
        <w:t xml:space="preserve"> </w:t>
      </w:r>
      <w:proofErr w:type="spellStart"/>
      <w:r w:rsidR="00EB3251" w:rsidRPr="005B2E32">
        <w:rPr>
          <w:rFonts w:ascii="Times New Roman" w:eastAsia="Times New Roman" w:hAnsi="Times New Roman" w:cs="Times New Roman"/>
          <w:bCs/>
          <w:lang w:eastAsia="fr-FR"/>
        </w:rPr>
        <w:t>disclosure</w:t>
      </w:r>
      <w:proofErr w:type="spellEnd"/>
      <w:r w:rsidR="00EB3251" w:rsidRPr="005B2E32">
        <w:rPr>
          <w:rFonts w:ascii="Times New Roman" w:eastAsia="Times New Roman" w:hAnsi="Times New Roman" w:cs="Times New Roman"/>
          <w:bCs/>
          <w:lang w:eastAsia="fr-FR"/>
        </w:rPr>
        <w:t xml:space="preserve"> and the </w:t>
      </w:r>
      <w:proofErr w:type="spellStart"/>
      <w:r w:rsidR="00EB3251" w:rsidRPr="005B2E32">
        <w:rPr>
          <w:rFonts w:ascii="Times New Roman" w:eastAsia="Times New Roman" w:hAnsi="Times New Roman" w:cs="Times New Roman"/>
          <w:bCs/>
          <w:lang w:eastAsia="fr-FR"/>
        </w:rPr>
        <w:t>cost</w:t>
      </w:r>
      <w:proofErr w:type="spellEnd"/>
      <w:r w:rsidR="00EB3251" w:rsidRPr="005B2E32">
        <w:rPr>
          <w:rFonts w:ascii="Times New Roman" w:eastAsia="Times New Roman" w:hAnsi="Times New Roman" w:cs="Times New Roman"/>
          <w:bCs/>
          <w:lang w:eastAsia="fr-FR"/>
        </w:rPr>
        <w:t xml:space="preserve"> </w:t>
      </w:r>
      <w:r w:rsidRPr="005B2E32">
        <w:rPr>
          <w:rFonts w:ascii="Times New Roman" w:eastAsia="Times New Roman" w:hAnsi="Times New Roman" w:cs="Times New Roman"/>
          <w:bCs/>
          <w:lang w:eastAsia="fr-FR"/>
        </w:rPr>
        <w:t xml:space="preserve">of </w:t>
      </w:r>
      <w:proofErr w:type="spellStart"/>
      <w:r w:rsidRPr="005B2E32">
        <w:rPr>
          <w:rFonts w:ascii="Times New Roman" w:eastAsia="Times New Roman" w:hAnsi="Times New Roman" w:cs="Times New Roman"/>
          <w:bCs/>
          <w:lang w:eastAsia="fr-FR"/>
        </w:rPr>
        <w:t>equity</w:t>
      </w:r>
      <w:proofErr w:type="spellEnd"/>
      <w:r w:rsidRPr="005B2E32">
        <w:rPr>
          <w:rFonts w:ascii="Times New Roman" w:eastAsia="Times New Roman" w:hAnsi="Times New Roman" w:cs="Times New Roman"/>
          <w:bCs/>
          <w:lang w:eastAsia="fr-FR"/>
        </w:rPr>
        <w:t xml:space="preserve"> </w:t>
      </w:r>
      <w:proofErr w:type="gramStart"/>
      <w:r w:rsidRPr="005B2E32">
        <w:rPr>
          <w:rFonts w:ascii="Times New Roman" w:eastAsia="Times New Roman" w:hAnsi="Times New Roman" w:cs="Times New Roman"/>
          <w:bCs/>
          <w:lang w:eastAsia="fr-FR"/>
        </w:rPr>
        <w:t>capital:</w:t>
      </w:r>
      <w:proofErr w:type="gramEnd"/>
      <w:r w:rsidRPr="005B2E32">
        <w:rPr>
          <w:rFonts w:ascii="Times New Roman" w:eastAsia="Times New Roman" w:hAnsi="Times New Roman" w:cs="Times New Roman"/>
          <w:bCs/>
          <w:lang w:eastAsia="fr-FR"/>
        </w:rPr>
        <w:t xml:space="preserve"> T</w:t>
      </w:r>
      <w:r w:rsidR="00EB3251" w:rsidRPr="005B2E32">
        <w:rPr>
          <w:rFonts w:ascii="Times New Roman" w:eastAsia="Times New Roman" w:hAnsi="Times New Roman" w:cs="Times New Roman"/>
          <w:bCs/>
          <w:lang w:eastAsia="fr-FR"/>
        </w:rPr>
        <w:t xml:space="preserve">he initiation of </w:t>
      </w:r>
      <w:proofErr w:type="spellStart"/>
      <w:r w:rsidR="00EB3251" w:rsidRPr="005B2E32">
        <w:rPr>
          <w:rFonts w:ascii="Times New Roman" w:eastAsia="Times New Roman" w:hAnsi="Times New Roman" w:cs="Times New Roman"/>
          <w:bCs/>
          <w:lang w:eastAsia="fr-FR"/>
        </w:rPr>
        <w:t>corporate</w:t>
      </w:r>
      <w:proofErr w:type="spellEnd"/>
      <w:r w:rsidR="00EB3251" w:rsidRPr="005B2E32">
        <w:rPr>
          <w:rFonts w:ascii="Times New Roman" w:eastAsia="Times New Roman" w:hAnsi="Times New Roman" w:cs="Times New Roman"/>
          <w:bCs/>
          <w:lang w:eastAsia="fr-FR"/>
        </w:rPr>
        <w:t xml:space="preserve"> so</w:t>
      </w:r>
      <w:r w:rsidRPr="005B2E32">
        <w:rPr>
          <w:rFonts w:ascii="Times New Roman" w:eastAsia="Times New Roman" w:hAnsi="Times New Roman" w:cs="Times New Roman"/>
          <w:bCs/>
          <w:lang w:eastAsia="fr-FR"/>
        </w:rPr>
        <w:t xml:space="preserve">cial </w:t>
      </w:r>
      <w:proofErr w:type="spellStart"/>
      <w:r w:rsidRPr="005B2E32">
        <w:rPr>
          <w:rFonts w:ascii="Times New Roman" w:eastAsia="Times New Roman" w:hAnsi="Times New Roman" w:cs="Times New Roman"/>
          <w:bCs/>
          <w:lang w:eastAsia="fr-FR"/>
        </w:rPr>
        <w:t>responsibility</w:t>
      </w:r>
      <w:proofErr w:type="spellEnd"/>
      <w:r w:rsidRPr="005B2E32">
        <w:rPr>
          <w:rFonts w:ascii="Times New Roman" w:eastAsia="Times New Roman" w:hAnsi="Times New Roman" w:cs="Times New Roman"/>
          <w:bCs/>
          <w:lang w:eastAsia="fr-FR"/>
        </w:rPr>
        <w:t xml:space="preserve"> </w:t>
      </w:r>
      <w:proofErr w:type="spellStart"/>
      <w:r w:rsidRPr="005B2E32">
        <w:rPr>
          <w:rFonts w:ascii="Times New Roman" w:eastAsia="Times New Roman" w:hAnsi="Times New Roman" w:cs="Times New Roman"/>
          <w:bCs/>
          <w:lang w:eastAsia="fr-FR"/>
        </w:rPr>
        <w:t>reporting</w:t>
      </w:r>
      <w:proofErr w:type="spellEnd"/>
      <w:r w:rsidRPr="005B2E32">
        <w:rPr>
          <w:rFonts w:ascii="Times New Roman" w:eastAsia="Times New Roman" w:hAnsi="Times New Roman" w:cs="Times New Roman"/>
          <w:bCs/>
          <w:lang w:eastAsia="fr-FR"/>
        </w:rPr>
        <w:t>.</w:t>
      </w:r>
      <w:r w:rsidR="00EB3251" w:rsidRPr="005B2E32">
        <w:rPr>
          <w:rFonts w:ascii="Times New Roman" w:eastAsia="Times New Roman" w:hAnsi="Times New Roman" w:cs="Times New Roman"/>
          <w:bCs/>
          <w:lang w:eastAsia="fr-FR"/>
        </w:rPr>
        <w:t xml:space="preserve"> </w:t>
      </w:r>
      <w:r w:rsidR="00EB3251" w:rsidRPr="005B2E32">
        <w:rPr>
          <w:rFonts w:ascii="Times New Roman" w:eastAsia="Times New Roman" w:hAnsi="Times New Roman" w:cs="Times New Roman"/>
          <w:bCs/>
          <w:i/>
          <w:lang w:eastAsia="fr-FR"/>
        </w:rPr>
        <w:t xml:space="preserve">The </w:t>
      </w:r>
      <w:proofErr w:type="spellStart"/>
      <w:r w:rsidR="00EB3251" w:rsidRPr="005B2E32">
        <w:rPr>
          <w:rFonts w:ascii="Times New Roman" w:eastAsia="Times New Roman" w:hAnsi="Times New Roman" w:cs="Times New Roman"/>
          <w:bCs/>
          <w:i/>
          <w:lang w:eastAsia="fr-FR"/>
        </w:rPr>
        <w:t>Accounting</w:t>
      </w:r>
      <w:proofErr w:type="spellEnd"/>
      <w:r w:rsidR="00EB3251" w:rsidRPr="005B2E32">
        <w:rPr>
          <w:rFonts w:ascii="Times New Roman" w:eastAsia="Times New Roman" w:hAnsi="Times New Roman" w:cs="Times New Roman"/>
          <w:bCs/>
          <w:i/>
          <w:lang w:eastAsia="fr-FR"/>
        </w:rPr>
        <w:t xml:space="preserve"> </w:t>
      </w:r>
      <w:proofErr w:type="spellStart"/>
      <w:r w:rsidR="00EB3251" w:rsidRPr="005B2E32">
        <w:rPr>
          <w:rFonts w:ascii="Times New Roman" w:eastAsia="Times New Roman" w:hAnsi="Times New Roman" w:cs="Times New Roman"/>
          <w:bCs/>
          <w:i/>
          <w:lang w:eastAsia="fr-FR"/>
        </w:rPr>
        <w:t>Review</w:t>
      </w:r>
      <w:proofErr w:type="spellEnd"/>
      <w:r w:rsidRPr="005B2E32">
        <w:rPr>
          <w:rFonts w:ascii="Times New Roman" w:eastAsia="Times New Roman" w:hAnsi="Times New Roman" w:cs="Times New Roman"/>
          <w:bCs/>
          <w:lang w:eastAsia="fr-FR"/>
        </w:rPr>
        <w:t xml:space="preserve"> 86 (</w:t>
      </w:r>
      <w:r w:rsidR="00EB3251" w:rsidRPr="005B2E32">
        <w:rPr>
          <w:rFonts w:ascii="Times New Roman" w:eastAsia="Times New Roman" w:hAnsi="Times New Roman" w:cs="Times New Roman"/>
          <w:bCs/>
          <w:lang w:eastAsia="fr-FR"/>
        </w:rPr>
        <w:t>1</w:t>
      </w:r>
      <w:proofErr w:type="gramStart"/>
      <w:r w:rsidRPr="005B2E32">
        <w:rPr>
          <w:rFonts w:ascii="Times New Roman" w:eastAsia="Times New Roman" w:hAnsi="Times New Roman" w:cs="Times New Roman"/>
          <w:bCs/>
          <w:lang w:eastAsia="fr-FR"/>
        </w:rPr>
        <w:t>):</w:t>
      </w:r>
      <w:proofErr w:type="gramEnd"/>
      <w:r w:rsidR="00EB3251" w:rsidRPr="005B2E32">
        <w:rPr>
          <w:rFonts w:ascii="Times New Roman" w:eastAsia="Times New Roman" w:hAnsi="Times New Roman" w:cs="Times New Roman"/>
          <w:bCs/>
          <w:lang w:eastAsia="fr-FR"/>
        </w:rPr>
        <w:t xml:space="preserve"> 59-100.</w:t>
      </w:r>
    </w:p>
    <w:p w:rsidR="00EB3251" w:rsidRPr="005B2E32" w:rsidRDefault="00D0173C"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DiMaggio</w:t>
      </w:r>
      <w:proofErr w:type="spellEnd"/>
      <w:r w:rsidRPr="005B2E32">
        <w:rPr>
          <w:rFonts w:ascii="Times New Roman" w:hAnsi="Times New Roman" w:cs="Times New Roman"/>
        </w:rPr>
        <w:t xml:space="preserve">, P. J., Powell, W. W. (1983). </w:t>
      </w:r>
      <w:r w:rsidR="00EB3251" w:rsidRPr="005B2E32">
        <w:rPr>
          <w:rFonts w:ascii="Times New Roman" w:hAnsi="Times New Roman" w:cs="Times New Roman"/>
        </w:rPr>
        <w:t xml:space="preserve">The </w:t>
      </w:r>
      <w:proofErr w:type="spellStart"/>
      <w:r w:rsidR="00EB3251" w:rsidRPr="005B2E32">
        <w:rPr>
          <w:rFonts w:ascii="Times New Roman" w:hAnsi="Times New Roman" w:cs="Times New Roman"/>
        </w:rPr>
        <w:t>iron</w:t>
      </w:r>
      <w:proofErr w:type="spellEnd"/>
      <w:r w:rsidR="00EB3251" w:rsidRPr="005B2E32">
        <w:rPr>
          <w:rFonts w:ascii="Times New Roman" w:hAnsi="Times New Roman" w:cs="Times New Roman"/>
        </w:rPr>
        <w:t xml:space="preserve"> cage </w:t>
      </w:r>
      <w:proofErr w:type="spellStart"/>
      <w:proofErr w:type="gramStart"/>
      <w:r w:rsidR="00EB3251" w:rsidRPr="005B2E32">
        <w:rPr>
          <w:rFonts w:ascii="Times New Roman" w:hAnsi="Times New Roman" w:cs="Times New Roman"/>
        </w:rPr>
        <w:t>revisited</w:t>
      </w:r>
      <w:proofErr w:type="spellEnd"/>
      <w:r w:rsidR="00EB3251" w:rsidRPr="005B2E32">
        <w:rPr>
          <w:rFonts w:ascii="Times New Roman" w:hAnsi="Times New Roman" w:cs="Times New Roman"/>
        </w:rPr>
        <w:t>:</w:t>
      </w:r>
      <w:proofErr w:type="gram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Institutional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isomorphism</w:t>
      </w:r>
      <w:proofErr w:type="spellEnd"/>
      <w:r w:rsidR="00EB3251" w:rsidRPr="005B2E32">
        <w:rPr>
          <w:rFonts w:ascii="Times New Roman" w:hAnsi="Times New Roman" w:cs="Times New Roman"/>
        </w:rPr>
        <w:t xml:space="preserve"> and collective </w:t>
      </w:r>
      <w:proofErr w:type="spellStart"/>
      <w:r w:rsidR="00EB3251" w:rsidRPr="005B2E32">
        <w:rPr>
          <w:rFonts w:ascii="Times New Roman" w:hAnsi="Times New Roman" w:cs="Times New Roman"/>
        </w:rPr>
        <w:t>rationality</w:t>
      </w:r>
      <w:proofErr w:type="spellEnd"/>
      <w:r w:rsidRPr="005B2E32">
        <w:rPr>
          <w:rFonts w:ascii="Times New Roman" w:hAnsi="Times New Roman" w:cs="Times New Roman"/>
        </w:rPr>
        <w:t xml:space="preserve"> in </w:t>
      </w:r>
      <w:proofErr w:type="spellStart"/>
      <w:r w:rsidRPr="005B2E32">
        <w:rPr>
          <w:rFonts w:ascii="Times New Roman" w:hAnsi="Times New Roman" w:cs="Times New Roman"/>
        </w:rPr>
        <w:t>organizational</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fields</w:t>
      </w:r>
      <w:proofErr w:type="spellEnd"/>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American </w:t>
      </w:r>
      <w:proofErr w:type="spellStart"/>
      <w:r w:rsidR="00EB3251" w:rsidRPr="005B2E32">
        <w:rPr>
          <w:rFonts w:ascii="Times New Roman" w:hAnsi="Times New Roman" w:cs="Times New Roman"/>
          <w:i/>
        </w:rPr>
        <w:t>Sociological</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Review</w:t>
      </w:r>
      <w:proofErr w:type="spellEnd"/>
      <w:r w:rsidRPr="005B2E32">
        <w:rPr>
          <w:rFonts w:ascii="Times New Roman" w:hAnsi="Times New Roman" w:cs="Times New Roman"/>
        </w:rPr>
        <w:t xml:space="preserve">, </w:t>
      </w:r>
      <w:proofErr w:type="gramStart"/>
      <w:r w:rsidRPr="005B2E32">
        <w:rPr>
          <w:rFonts w:ascii="Times New Roman" w:hAnsi="Times New Roman" w:cs="Times New Roman"/>
        </w:rPr>
        <w:t>48:</w:t>
      </w:r>
      <w:proofErr w:type="gramEnd"/>
      <w:r w:rsidRPr="005B2E32">
        <w:rPr>
          <w:rFonts w:ascii="Times New Roman" w:hAnsi="Times New Roman" w:cs="Times New Roman"/>
        </w:rPr>
        <w:t xml:space="preserve"> </w:t>
      </w:r>
      <w:r w:rsidR="00EB3251" w:rsidRPr="005B2E32">
        <w:rPr>
          <w:rFonts w:ascii="Times New Roman" w:hAnsi="Times New Roman" w:cs="Times New Roman"/>
        </w:rPr>
        <w:t>147–160.</w:t>
      </w:r>
    </w:p>
    <w:p w:rsidR="00EB3251" w:rsidRPr="005B2E32" w:rsidRDefault="00D0173C"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Doan</w:t>
      </w:r>
      <w:proofErr w:type="spellEnd"/>
      <w:r w:rsidRPr="005B2E32">
        <w:rPr>
          <w:rFonts w:ascii="Times New Roman" w:eastAsia="Times New Roman" w:hAnsi="Times New Roman" w:cs="Times New Roman"/>
          <w:bCs/>
          <w:kern w:val="36"/>
          <w:lang w:eastAsia="fr-FR"/>
        </w:rPr>
        <w:t xml:space="preserve">, M. H., </w:t>
      </w:r>
      <w:proofErr w:type="spellStart"/>
      <w:r w:rsidRPr="005B2E32">
        <w:rPr>
          <w:rFonts w:ascii="Times New Roman" w:eastAsia="Times New Roman" w:hAnsi="Times New Roman" w:cs="Times New Roman"/>
          <w:bCs/>
          <w:kern w:val="36"/>
          <w:lang w:eastAsia="fr-FR"/>
        </w:rPr>
        <w:t>Sassen</w:t>
      </w:r>
      <w:proofErr w:type="spellEnd"/>
      <w:r w:rsidRPr="005B2E32">
        <w:rPr>
          <w:rFonts w:ascii="Times New Roman" w:eastAsia="Times New Roman" w:hAnsi="Times New Roman" w:cs="Times New Roman"/>
          <w:bCs/>
          <w:kern w:val="36"/>
          <w:lang w:eastAsia="fr-FR"/>
        </w:rPr>
        <w:t xml:space="preserve"> R. (2020). </w:t>
      </w:r>
      <w:r w:rsidR="00EB3251" w:rsidRPr="005B2E32">
        <w:rPr>
          <w:rFonts w:ascii="Times New Roman" w:eastAsia="Times New Roman" w:hAnsi="Times New Roman" w:cs="Times New Roman"/>
          <w:bCs/>
          <w:kern w:val="36"/>
          <w:lang w:eastAsia="fr-FR"/>
        </w:rPr>
        <w:t xml:space="preserve">The </w:t>
      </w:r>
      <w:proofErr w:type="spellStart"/>
      <w:r w:rsidR="00EB3251" w:rsidRPr="005B2E32">
        <w:rPr>
          <w:rFonts w:ascii="Times New Roman" w:eastAsia="Times New Roman" w:hAnsi="Times New Roman" w:cs="Times New Roman"/>
          <w:bCs/>
          <w:kern w:val="36"/>
          <w:lang w:eastAsia="fr-FR"/>
        </w:rPr>
        <w:t>relationship</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between</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environmental</w:t>
      </w:r>
      <w:proofErr w:type="spellEnd"/>
      <w:r w:rsidR="00EB3251" w:rsidRPr="005B2E32">
        <w:rPr>
          <w:rFonts w:ascii="Times New Roman" w:eastAsia="Times New Roman" w:hAnsi="Times New Roman" w:cs="Times New Roman"/>
          <w:bCs/>
          <w:kern w:val="36"/>
          <w:lang w:eastAsia="fr-FR"/>
        </w:rPr>
        <w:t xml:space="preserve"> performance and </w:t>
      </w:r>
      <w:proofErr w:type="spellStart"/>
      <w:r w:rsidR="00EB3251" w:rsidRPr="005B2E32">
        <w:rPr>
          <w:rFonts w:ascii="Times New Roman" w:eastAsia="Times New Roman" w:hAnsi="Times New Roman" w:cs="Times New Roman"/>
          <w:bCs/>
          <w:kern w:val="36"/>
          <w:lang w:eastAsia="fr-FR"/>
        </w:rPr>
        <w:t>environmenta</w:t>
      </w:r>
      <w:r w:rsidRPr="005B2E32">
        <w:rPr>
          <w:rFonts w:ascii="Times New Roman" w:eastAsia="Times New Roman" w:hAnsi="Times New Roman" w:cs="Times New Roman"/>
          <w:bCs/>
          <w:kern w:val="36"/>
          <w:lang w:eastAsia="fr-FR"/>
        </w:rPr>
        <w:t>l</w:t>
      </w:r>
      <w:proofErr w:type="spellEnd"/>
      <w:r w:rsidRPr="005B2E32">
        <w:rPr>
          <w:rFonts w:ascii="Times New Roman" w:eastAsia="Times New Roman" w:hAnsi="Times New Roman" w:cs="Times New Roman"/>
          <w:bCs/>
          <w:kern w:val="36"/>
          <w:lang w:eastAsia="fr-FR"/>
        </w:rPr>
        <w:t xml:space="preserve"> </w:t>
      </w:r>
      <w:proofErr w:type="spellStart"/>
      <w:proofErr w:type="gramStart"/>
      <w:r w:rsidRPr="005B2E32">
        <w:rPr>
          <w:rFonts w:ascii="Times New Roman" w:eastAsia="Times New Roman" w:hAnsi="Times New Roman" w:cs="Times New Roman"/>
          <w:bCs/>
          <w:kern w:val="36"/>
          <w:lang w:eastAsia="fr-FR"/>
        </w:rPr>
        <w:t>disclosure</w:t>
      </w:r>
      <w:proofErr w:type="spellEnd"/>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A </w:t>
      </w:r>
      <w:proofErr w:type="spellStart"/>
      <w:r w:rsidRPr="005B2E32">
        <w:rPr>
          <w:rFonts w:ascii="Times New Roman" w:eastAsia="Times New Roman" w:hAnsi="Times New Roman" w:cs="Times New Roman"/>
          <w:bCs/>
          <w:kern w:val="36"/>
          <w:lang w:eastAsia="fr-FR"/>
        </w:rPr>
        <w:t>meta-analysis</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 xml:space="preserve">Journal of </w:t>
      </w:r>
      <w:proofErr w:type="spellStart"/>
      <w:r w:rsidR="00EB3251" w:rsidRPr="005B2E32">
        <w:rPr>
          <w:rFonts w:ascii="Times New Roman" w:eastAsia="Times New Roman" w:hAnsi="Times New Roman" w:cs="Times New Roman"/>
          <w:bCs/>
          <w:i/>
          <w:kern w:val="36"/>
          <w:lang w:eastAsia="fr-FR"/>
        </w:rPr>
        <w:t>Industrial</w:t>
      </w:r>
      <w:proofErr w:type="spellEnd"/>
      <w:r w:rsidR="00EB3251" w:rsidRPr="005B2E32">
        <w:rPr>
          <w:rFonts w:ascii="Times New Roman" w:eastAsia="Times New Roman" w:hAnsi="Times New Roman" w:cs="Times New Roman"/>
          <w:bCs/>
          <w:i/>
          <w:kern w:val="36"/>
          <w:lang w:eastAsia="fr-FR"/>
        </w:rPr>
        <w:t xml:space="preserve"> </w:t>
      </w:r>
      <w:proofErr w:type="spellStart"/>
      <w:r w:rsidR="00EB3251" w:rsidRPr="005B2E32">
        <w:rPr>
          <w:rFonts w:ascii="Times New Roman" w:eastAsia="Times New Roman" w:hAnsi="Times New Roman" w:cs="Times New Roman"/>
          <w:bCs/>
          <w:i/>
          <w:kern w:val="36"/>
          <w:lang w:eastAsia="fr-FR"/>
        </w:rPr>
        <w:t>Ecology</w:t>
      </w:r>
      <w:proofErr w:type="spell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24</w:t>
      </w:r>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5</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1140-1157.</w:t>
      </w:r>
    </w:p>
    <w:p w:rsidR="00EB3251" w:rsidRPr="005B2E32" w:rsidRDefault="00376C36"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Gallardo-Vazquez</w:t>
      </w:r>
      <w:proofErr w:type="spellEnd"/>
      <w:r w:rsidRPr="005B2E32">
        <w:rPr>
          <w:rFonts w:ascii="Times New Roman" w:eastAsia="Times New Roman" w:hAnsi="Times New Roman" w:cs="Times New Roman"/>
          <w:bCs/>
          <w:kern w:val="36"/>
          <w:lang w:eastAsia="fr-FR"/>
        </w:rPr>
        <w:t xml:space="preserve">, D., </w:t>
      </w:r>
      <w:proofErr w:type="spellStart"/>
      <w:r w:rsidRPr="005B2E32">
        <w:rPr>
          <w:rFonts w:ascii="Times New Roman" w:eastAsia="Times New Roman" w:hAnsi="Times New Roman" w:cs="Times New Roman"/>
          <w:bCs/>
          <w:kern w:val="36"/>
          <w:lang w:eastAsia="fr-FR"/>
        </w:rPr>
        <w:t>Barrisi-Mendez</w:t>
      </w:r>
      <w:proofErr w:type="spellEnd"/>
      <w:r w:rsidRPr="005B2E32">
        <w:rPr>
          <w:rFonts w:ascii="Times New Roman" w:eastAsia="Times New Roman" w:hAnsi="Times New Roman" w:cs="Times New Roman"/>
          <w:bCs/>
          <w:kern w:val="36"/>
          <w:lang w:eastAsia="fr-FR"/>
        </w:rPr>
        <w:t xml:space="preserve"> M. J., </w:t>
      </w:r>
      <w:proofErr w:type="spellStart"/>
      <w:r w:rsidRPr="005B2E32">
        <w:rPr>
          <w:rFonts w:ascii="Times New Roman" w:eastAsia="Times New Roman" w:hAnsi="Times New Roman" w:cs="Times New Roman"/>
          <w:bCs/>
          <w:kern w:val="36"/>
          <w:lang w:eastAsia="fr-FR"/>
        </w:rPr>
        <w:t>Pajuelo</w:t>
      </w:r>
      <w:proofErr w:type="spellEnd"/>
      <w:r w:rsidRPr="005B2E32">
        <w:rPr>
          <w:rFonts w:ascii="Times New Roman" w:eastAsia="Times New Roman" w:hAnsi="Times New Roman" w:cs="Times New Roman"/>
          <w:bCs/>
          <w:kern w:val="36"/>
          <w:lang w:eastAsia="fr-FR"/>
        </w:rPr>
        <w:t>-Moreno M. L., Sanchez-</w:t>
      </w:r>
      <w:proofErr w:type="spellStart"/>
      <w:r w:rsidRPr="005B2E32">
        <w:rPr>
          <w:rFonts w:ascii="Times New Roman" w:eastAsia="Times New Roman" w:hAnsi="Times New Roman" w:cs="Times New Roman"/>
          <w:bCs/>
          <w:kern w:val="36"/>
          <w:lang w:eastAsia="fr-FR"/>
        </w:rPr>
        <w:t>Meca</w:t>
      </w:r>
      <w:proofErr w:type="spellEnd"/>
      <w:r w:rsidRPr="005B2E32">
        <w:rPr>
          <w:rFonts w:ascii="Times New Roman" w:eastAsia="Times New Roman" w:hAnsi="Times New Roman" w:cs="Times New Roman"/>
          <w:bCs/>
          <w:kern w:val="36"/>
          <w:lang w:eastAsia="fr-FR"/>
        </w:rPr>
        <w:t>, J.</w:t>
      </w:r>
      <w:r w:rsidR="00EF33D9" w:rsidRPr="005B2E32">
        <w:rPr>
          <w:rFonts w:ascii="Times New Roman" w:eastAsia="Times New Roman" w:hAnsi="Times New Roman" w:cs="Times New Roman"/>
          <w:bCs/>
          <w:kern w:val="36"/>
          <w:lang w:eastAsia="fr-FR"/>
        </w:rPr>
        <w:t xml:space="preserve"> (2019). </w:t>
      </w:r>
      <w:proofErr w:type="spellStart"/>
      <w:r w:rsidR="00EB3251" w:rsidRPr="005B2E32">
        <w:rPr>
          <w:rFonts w:ascii="Times New Roman" w:eastAsia="Times New Roman" w:hAnsi="Times New Roman" w:cs="Times New Roman"/>
          <w:bCs/>
          <w:kern w:val="36"/>
          <w:lang w:eastAsia="fr-FR"/>
        </w:rPr>
        <w:t>Corporate</w:t>
      </w:r>
      <w:proofErr w:type="spellEnd"/>
      <w:r w:rsidR="00EB3251" w:rsidRPr="005B2E32">
        <w:rPr>
          <w:rFonts w:ascii="Times New Roman" w:eastAsia="Times New Roman" w:hAnsi="Times New Roman" w:cs="Times New Roman"/>
          <w:bCs/>
          <w:kern w:val="36"/>
          <w:lang w:eastAsia="fr-FR"/>
        </w:rPr>
        <w:t xml:space="preserve"> social </w:t>
      </w:r>
      <w:proofErr w:type="spellStart"/>
      <w:r w:rsidR="00EB3251" w:rsidRPr="005B2E32">
        <w:rPr>
          <w:rFonts w:ascii="Times New Roman" w:eastAsia="Times New Roman" w:hAnsi="Times New Roman" w:cs="Times New Roman"/>
          <w:bCs/>
          <w:kern w:val="36"/>
          <w:lang w:eastAsia="fr-FR"/>
        </w:rPr>
        <w:t>responsibility</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disclosure</w:t>
      </w:r>
      <w:proofErr w:type="spellEnd"/>
      <w:r w:rsidR="00EB3251" w:rsidRPr="005B2E32">
        <w:rPr>
          <w:rFonts w:ascii="Times New Roman" w:eastAsia="Times New Roman" w:hAnsi="Times New Roman" w:cs="Times New Roman"/>
          <w:bCs/>
          <w:kern w:val="36"/>
          <w:lang w:eastAsia="fr-FR"/>
        </w:rPr>
        <w:t xml:space="preserve"> and </w:t>
      </w:r>
      <w:proofErr w:type="gramStart"/>
      <w:r w:rsidR="00EB3251" w:rsidRPr="005B2E32">
        <w:rPr>
          <w:rFonts w:ascii="Times New Roman" w:eastAsia="Times New Roman" w:hAnsi="Times New Roman" w:cs="Times New Roman"/>
          <w:bCs/>
          <w:kern w:val="36"/>
          <w:lang w:eastAsia="fr-FR"/>
        </w:rPr>
        <w:t>performan</w:t>
      </w:r>
      <w:r w:rsidR="00EF33D9" w:rsidRPr="005B2E32">
        <w:rPr>
          <w:rFonts w:ascii="Times New Roman" w:eastAsia="Times New Roman" w:hAnsi="Times New Roman" w:cs="Times New Roman"/>
          <w:bCs/>
          <w:kern w:val="36"/>
          <w:lang w:eastAsia="fr-FR"/>
        </w:rPr>
        <w:t>ce:</w:t>
      </w:r>
      <w:proofErr w:type="gramEnd"/>
      <w:r w:rsidR="00EF33D9" w:rsidRPr="005B2E32">
        <w:rPr>
          <w:rFonts w:ascii="Times New Roman" w:eastAsia="Times New Roman" w:hAnsi="Times New Roman" w:cs="Times New Roman"/>
          <w:bCs/>
          <w:kern w:val="36"/>
          <w:lang w:eastAsia="fr-FR"/>
        </w:rPr>
        <w:t xml:space="preserve"> A </w:t>
      </w:r>
      <w:proofErr w:type="spellStart"/>
      <w:r w:rsidR="00EF33D9" w:rsidRPr="005B2E32">
        <w:rPr>
          <w:rFonts w:ascii="Times New Roman" w:eastAsia="Times New Roman" w:hAnsi="Times New Roman" w:cs="Times New Roman"/>
          <w:bCs/>
          <w:kern w:val="36"/>
          <w:lang w:eastAsia="fr-FR"/>
        </w:rPr>
        <w:t>meta-analytic</w:t>
      </w:r>
      <w:proofErr w:type="spellEnd"/>
      <w:r w:rsidR="00EF33D9" w:rsidRPr="005B2E32">
        <w:rPr>
          <w:rFonts w:ascii="Times New Roman" w:eastAsia="Times New Roman" w:hAnsi="Times New Roman" w:cs="Times New Roman"/>
          <w:bCs/>
          <w:kern w:val="36"/>
          <w:lang w:eastAsia="fr-FR"/>
        </w:rPr>
        <w:t xml:space="preserve"> </w:t>
      </w:r>
      <w:proofErr w:type="spellStart"/>
      <w:r w:rsidR="00EF33D9" w:rsidRPr="005B2E32">
        <w:rPr>
          <w:rFonts w:ascii="Times New Roman" w:eastAsia="Times New Roman" w:hAnsi="Times New Roman" w:cs="Times New Roman"/>
          <w:bCs/>
          <w:kern w:val="36"/>
          <w:lang w:eastAsia="fr-FR"/>
        </w:rPr>
        <w:t>approach</w:t>
      </w:r>
      <w:proofErr w:type="spellEnd"/>
      <w:r w:rsidR="00EF33D9"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Sustainability</w:t>
      </w:r>
      <w:proofErr w:type="spellEnd"/>
      <w:r w:rsidR="00EF33D9" w:rsidRPr="005B2E32">
        <w:rPr>
          <w:rFonts w:ascii="Times New Roman" w:eastAsia="Times New Roman" w:hAnsi="Times New Roman" w:cs="Times New Roman"/>
          <w:bCs/>
          <w:kern w:val="36"/>
          <w:lang w:eastAsia="fr-FR"/>
        </w:rPr>
        <w:t xml:space="preserve"> 11 (</w:t>
      </w:r>
      <w:r w:rsidR="00EB3251" w:rsidRPr="005B2E32">
        <w:rPr>
          <w:rFonts w:ascii="Times New Roman" w:eastAsia="Times New Roman" w:hAnsi="Times New Roman" w:cs="Times New Roman"/>
          <w:bCs/>
          <w:kern w:val="36"/>
          <w:lang w:eastAsia="fr-FR"/>
        </w:rPr>
        <w:t>4</w:t>
      </w:r>
      <w:proofErr w:type="gramStart"/>
      <w:r w:rsidR="00EF33D9" w:rsidRPr="005B2E32">
        <w:rPr>
          <w:rFonts w:ascii="Times New Roman" w:eastAsia="Times New Roman" w:hAnsi="Times New Roman" w:cs="Times New Roman"/>
          <w:bCs/>
          <w:kern w:val="36"/>
          <w:lang w:eastAsia="fr-FR"/>
        </w:rPr>
        <w:t>):</w:t>
      </w:r>
      <w:proofErr w:type="gramEnd"/>
      <w:r w:rsidR="00EB3251" w:rsidRPr="005B2E32">
        <w:rPr>
          <w:rFonts w:ascii="Times New Roman" w:eastAsia="Times New Roman" w:hAnsi="Times New Roman" w:cs="Times New Roman"/>
          <w:bCs/>
          <w:kern w:val="36"/>
          <w:lang w:eastAsia="fr-FR"/>
        </w:rPr>
        <w:t xml:space="preserve"> 1-33.</w:t>
      </w:r>
    </w:p>
    <w:p w:rsidR="00EB3251" w:rsidRPr="005B2E32" w:rsidRDefault="00EF33D9"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Gerardi</w:t>
      </w:r>
      <w:proofErr w:type="spellEnd"/>
      <w:r w:rsidRPr="005B2E32">
        <w:rPr>
          <w:rFonts w:ascii="Times New Roman" w:eastAsia="Times New Roman" w:hAnsi="Times New Roman" w:cs="Times New Roman"/>
          <w:bCs/>
          <w:kern w:val="36"/>
          <w:lang w:eastAsia="fr-FR"/>
        </w:rPr>
        <w:t>, A.,</w:t>
      </w:r>
      <w:r w:rsidR="00EB3251" w:rsidRPr="005B2E32">
        <w:rPr>
          <w:rFonts w:ascii="Times New Roman" w:eastAsia="Times New Roman" w:hAnsi="Times New Roman" w:cs="Times New Roman"/>
          <w:bCs/>
          <w:kern w:val="36"/>
          <w:lang w:eastAsia="fr-FR"/>
        </w:rPr>
        <w:t xml:space="preserve"> </w:t>
      </w:r>
      <w:r w:rsidRPr="005B2E32">
        <w:rPr>
          <w:rFonts w:ascii="Times New Roman" w:eastAsia="Times New Roman" w:hAnsi="Times New Roman" w:cs="Times New Roman"/>
          <w:lang w:eastAsia="fr-FR"/>
        </w:rPr>
        <w:t xml:space="preserve">Grandjean, A., Martinez, E. (2015). </w:t>
      </w:r>
      <w:r w:rsidR="00EB3251" w:rsidRPr="005B2E32">
        <w:rPr>
          <w:rFonts w:ascii="Times New Roman" w:eastAsia="Times New Roman" w:hAnsi="Times New Roman" w:cs="Times New Roman"/>
          <w:lang w:eastAsia="fr-FR"/>
        </w:rPr>
        <w:t>La quantification des émissions de gaz à effet de serre</w:t>
      </w:r>
      <w:r w:rsidRPr="005B2E32">
        <w:rPr>
          <w:rFonts w:ascii="Times New Roman" w:eastAsia="Times New Roman" w:hAnsi="Times New Roman" w:cs="Times New Roman"/>
          <w:lang w:eastAsia="fr-FR"/>
        </w:rPr>
        <w:t xml:space="preserve"> des institutions financières.</w:t>
      </w:r>
      <w:r w:rsidR="00EB3251"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i/>
          <w:lang w:eastAsia="fr-FR"/>
        </w:rPr>
        <w:t>Revue d’Economie Financière</w:t>
      </w:r>
      <w:r w:rsidRPr="005B2E32">
        <w:rPr>
          <w:rFonts w:ascii="Times New Roman" w:eastAsia="Times New Roman" w:hAnsi="Times New Roman" w:cs="Times New Roman"/>
          <w:lang w:eastAsia="fr-FR"/>
        </w:rPr>
        <w:t xml:space="preserve"> 1 (</w:t>
      </w:r>
      <w:r w:rsidR="00EB3251" w:rsidRPr="005B2E32">
        <w:rPr>
          <w:rFonts w:ascii="Times New Roman" w:eastAsia="Times New Roman" w:hAnsi="Times New Roman" w:cs="Times New Roman"/>
          <w:lang w:eastAsia="fr-FR"/>
        </w:rPr>
        <w:t>117</w:t>
      </w:r>
      <w:proofErr w:type="gramStart"/>
      <w:r w:rsidRPr="005B2E32">
        <w:rPr>
          <w:rFonts w:ascii="Times New Roman" w:eastAsia="Times New Roman" w:hAnsi="Times New Roman" w:cs="Times New Roman"/>
          <w:lang w:eastAsia="fr-FR"/>
        </w:rPr>
        <w:t>):</w:t>
      </w:r>
      <w:proofErr w:type="gramEnd"/>
      <w:r w:rsidR="00EB3251" w:rsidRPr="005B2E32">
        <w:rPr>
          <w:rFonts w:ascii="Times New Roman" w:eastAsia="Times New Roman" w:hAnsi="Times New Roman" w:cs="Times New Roman"/>
          <w:lang w:eastAsia="fr-FR"/>
        </w:rPr>
        <w:t xml:space="preserve"> 189-204.</w:t>
      </w:r>
    </w:p>
    <w:p w:rsidR="00EB3251" w:rsidRPr="005B2E32" w:rsidRDefault="00EF33D9" w:rsidP="005B2E32">
      <w:pPr>
        <w:spacing w:after="0" w:line="480" w:lineRule="auto"/>
        <w:jc w:val="both"/>
        <w:rPr>
          <w:rFonts w:ascii="Times New Roman" w:eastAsia="Times New Roman" w:hAnsi="Times New Roman" w:cs="Times New Roman"/>
          <w:lang w:eastAsia="fr-FR"/>
        </w:rPr>
      </w:pPr>
      <w:proofErr w:type="spellStart"/>
      <w:r w:rsidRPr="005B2E32">
        <w:rPr>
          <w:rFonts w:ascii="Times New Roman" w:eastAsia="Times New Roman" w:hAnsi="Times New Roman" w:cs="Times New Roman"/>
          <w:lang w:eastAsia="fr-FR"/>
        </w:rPr>
        <w:t>Ghitti</w:t>
      </w:r>
      <w:proofErr w:type="spellEnd"/>
      <w:r w:rsidRPr="005B2E32">
        <w:rPr>
          <w:rFonts w:ascii="Times New Roman" w:eastAsia="Times New Roman" w:hAnsi="Times New Roman" w:cs="Times New Roman"/>
          <w:lang w:eastAsia="fr-FR"/>
        </w:rPr>
        <w:t xml:space="preserve">, M., </w:t>
      </w:r>
      <w:proofErr w:type="spellStart"/>
      <w:r w:rsidRPr="005B2E32">
        <w:rPr>
          <w:rFonts w:ascii="Times New Roman" w:eastAsia="Times New Roman" w:hAnsi="Times New Roman" w:cs="Times New Roman"/>
          <w:lang w:eastAsia="fr-FR"/>
        </w:rPr>
        <w:t>Gianfrate</w:t>
      </w:r>
      <w:proofErr w:type="spellEnd"/>
      <w:r w:rsidRPr="005B2E32">
        <w:rPr>
          <w:rFonts w:ascii="Times New Roman" w:eastAsia="Times New Roman" w:hAnsi="Times New Roman" w:cs="Times New Roman"/>
          <w:lang w:eastAsia="fr-FR"/>
        </w:rPr>
        <w:t>, G.,</w:t>
      </w:r>
      <w:r w:rsidR="00EB3251" w:rsidRPr="005B2E32">
        <w:rPr>
          <w:rFonts w:ascii="Times New Roman" w:eastAsia="Times New Roman" w:hAnsi="Times New Roman" w:cs="Times New Roman"/>
          <w:lang w:eastAsia="fr-FR"/>
        </w:rPr>
        <w:t xml:space="preserve"> Palma, </w:t>
      </w:r>
      <w:r w:rsidRPr="005B2E32">
        <w:rPr>
          <w:rFonts w:ascii="Times New Roman" w:eastAsia="Times New Roman" w:hAnsi="Times New Roman" w:cs="Times New Roman"/>
          <w:lang w:eastAsia="fr-FR"/>
        </w:rPr>
        <w:t xml:space="preserve">L. (2020). The Agency of </w:t>
      </w:r>
      <w:proofErr w:type="spellStart"/>
      <w:r w:rsidRPr="005B2E32">
        <w:rPr>
          <w:rFonts w:ascii="Times New Roman" w:eastAsia="Times New Roman" w:hAnsi="Times New Roman" w:cs="Times New Roman"/>
          <w:lang w:eastAsia="fr-FR"/>
        </w:rPr>
        <w:t>greenwashing</w:t>
      </w:r>
      <w:proofErr w:type="spellEnd"/>
      <w:r w:rsidRPr="005B2E32">
        <w:rPr>
          <w:rFonts w:ascii="Times New Roman" w:eastAsia="Times New Roman" w:hAnsi="Times New Roman" w:cs="Times New Roman"/>
          <w:lang w:eastAsia="fr-FR"/>
        </w:rPr>
        <w:t>.</w:t>
      </w:r>
      <w:r w:rsidR="00EB3251" w:rsidRPr="005B2E32">
        <w:rPr>
          <w:rFonts w:ascii="Times New Roman" w:eastAsia="Times New Roman" w:hAnsi="Times New Roman" w:cs="Times New Roman"/>
          <w:lang w:eastAsia="fr-FR"/>
        </w:rPr>
        <w:t xml:space="preserve"> </w:t>
      </w:r>
      <w:r w:rsidR="00EB3251" w:rsidRPr="005B2E32">
        <w:rPr>
          <w:rFonts w:ascii="Times New Roman" w:eastAsia="Times New Roman" w:hAnsi="Times New Roman" w:cs="Times New Roman"/>
          <w:i/>
          <w:lang w:eastAsia="fr-FR"/>
        </w:rPr>
        <w:t xml:space="preserve">SSRN </w:t>
      </w:r>
      <w:proofErr w:type="spellStart"/>
      <w:r w:rsidR="00EB3251" w:rsidRPr="005B2E32">
        <w:rPr>
          <w:rFonts w:ascii="Times New Roman" w:eastAsia="Times New Roman" w:hAnsi="Times New Roman" w:cs="Times New Roman"/>
          <w:i/>
          <w:lang w:eastAsia="fr-FR"/>
        </w:rPr>
        <w:t>Electronic</w:t>
      </w:r>
      <w:proofErr w:type="spellEnd"/>
      <w:r w:rsidR="00EB3251" w:rsidRPr="005B2E32">
        <w:rPr>
          <w:rFonts w:ascii="Times New Roman" w:eastAsia="Times New Roman" w:hAnsi="Times New Roman" w:cs="Times New Roman"/>
          <w:i/>
          <w:lang w:eastAsia="fr-FR"/>
        </w:rPr>
        <w:t xml:space="preserve"> Journal</w:t>
      </w:r>
      <w:r w:rsidRPr="005B2E32">
        <w:rPr>
          <w:rFonts w:ascii="Times New Roman" w:eastAsia="Times New Roman" w:hAnsi="Times New Roman" w:cs="Times New Roman"/>
          <w:lang w:eastAsia="fr-FR"/>
        </w:rPr>
        <w:t xml:space="preserve"> </w:t>
      </w:r>
      <w:proofErr w:type="spellStart"/>
      <w:r w:rsidR="00EB3251" w:rsidRPr="005B2E32">
        <w:rPr>
          <w:rFonts w:ascii="Times New Roman" w:eastAsia="Times New Roman" w:hAnsi="Times New Roman" w:cs="Times New Roman"/>
          <w:lang w:eastAsia="fr-FR"/>
        </w:rPr>
        <w:t>Available</w:t>
      </w:r>
      <w:proofErr w:type="spellEnd"/>
      <w:r w:rsidR="00EB3251" w:rsidRPr="005B2E32">
        <w:rPr>
          <w:rFonts w:ascii="Times New Roman" w:eastAsia="Times New Roman" w:hAnsi="Times New Roman" w:cs="Times New Roman"/>
          <w:lang w:eastAsia="fr-FR"/>
        </w:rPr>
        <w:t xml:space="preserve"> at SSRN </w:t>
      </w:r>
      <w:hyperlink r:id="rId21" w:history="1">
        <w:r w:rsidR="00A87F33" w:rsidRPr="005B2E32">
          <w:rPr>
            <w:rStyle w:val="Lienhypertexte"/>
            <w:rFonts w:ascii="Times New Roman" w:eastAsia="Times New Roman" w:hAnsi="Times New Roman" w:cs="Times New Roman"/>
            <w:lang w:eastAsia="fr-FR"/>
          </w:rPr>
          <w:t>http://dx.doi.org/10.2139/ssrn.3629608</w:t>
        </w:r>
      </w:hyperlink>
      <w:r w:rsidR="00EB3251" w:rsidRPr="005B2E32">
        <w:rPr>
          <w:rFonts w:ascii="Times New Roman" w:eastAsia="Times New Roman" w:hAnsi="Times New Roman" w:cs="Times New Roman"/>
          <w:lang w:eastAsia="fr-FR"/>
        </w:rPr>
        <w:t>.</w:t>
      </w:r>
    </w:p>
    <w:p w:rsidR="00EB3251" w:rsidRPr="005B2E32" w:rsidRDefault="00EF33D9"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Giannarakis</w:t>
      </w:r>
      <w:proofErr w:type="spellEnd"/>
      <w:r w:rsidRPr="005B2E32">
        <w:rPr>
          <w:rFonts w:ascii="Times New Roman" w:eastAsia="Times New Roman" w:hAnsi="Times New Roman" w:cs="Times New Roman"/>
          <w:bCs/>
          <w:kern w:val="36"/>
          <w:lang w:eastAsia="fr-FR"/>
        </w:rPr>
        <w:t xml:space="preserve">, G., </w:t>
      </w:r>
      <w:proofErr w:type="spellStart"/>
      <w:r w:rsidRPr="005B2E32">
        <w:rPr>
          <w:rFonts w:ascii="Times New Roman" w:eastAsia="Times New Roman" w:hAnsi="Times New Roman" w:cs="Times New Roman"/>
          <w:bCs/>
          <w:kern w:val="36"/>
          <w:lang w:eastAsia="fr-FR"/>
        </w:rPr>
        <w:t>Zafeiriou</w:t>
      </w:r>
      <w:proofErr w:type="spellEnd"/>
      <w:r w:rsidRPr="005B2E32">
        <w:rPr>
          <w:rFonts w:ascii="Times New Roman" w:eastAsia="Times New Roman" w:hAnsi="Times New Roman" w:cs="Times New Roman"/>
          <w:bCs/>
          <w:kern w:val="36"/>
          <w:lang w:eastAsia="fr-FR"/>
        </w:rPr>
        <w:t xml:space="preserve">, E., </w:t>
      </w:r>
      <w:proofErr w:type="spellStart"/>
      <w:r w:rsidRPr="005B2E32">
        <w:rPr>
          <w:rFonts w:ascii="Times New Roman" w:eastAsia="Times New Roman" w:hAnsi="Times New Roman" w:cs="Times New Roman"/>
          <w:bCs/>
          <w:kern w:val="36"/>
          <w:lang w:eastAsia="fr-FR"/>
        </w:rPr>
        <w:t>Arabatzis</w:t>
      </w:r>
      <w:proofErr w:type="spellEnd"/>
      <w:r w:rsidRPr="005B2E32">
        <w:rPr>
          <w:rFonts w:ascii="Times New Roman" w:eastAsia="Times New Roman" w:hAnsi="Times New Roman" w:cs="Times New Roman"/>
          <w:bCs/>
          <w:kern w:val="36"/>
          <w:lang w:eastAsia="fr-FR"/>
        </w:rPr>
        <w:t xml:space="preserve">, G., </w:t>
      </w:r>
      <w:proofErr w:type="spellStart"/>
      <w:r w:rsidRPr="005B2E32">
        <w:rPr>
          <w:rFonts w:ascii="Times New Roman" w:eastAsia="Times New Roman" w:hAnsi="Times New Roman" w:cs="Times New Roman"/>
          <w:bCs/>
          <w:kern w:val="36"/>
          <w:lang w:eastAsia="fr-FR"/>
        </w:rPr>
        <w:t>Partalidou</w:t>
      </w:r>
      <w:proofErr w:type="spellEnd"/>
      <w:r w:rsidRPr="005B2E32">
        <w:rPr>
          <w:rFonts w:ascii="Times New Roman" w:eastAsia="Times New Roman" w:hAnsi="Times New Roman" w:cs="Times New Roman"/>
          <w:bCs/>
          <w:kern w:val="36"/>
          <w:lang w:eastAsia="fr-FR"/>
        </w:rPr>
        <w:t xml:space="preserve">, X. (2017). </w:t>
      </w:r>
      <w:proofErr w:type="spellStart"/>
      <w:r w:rsidR="00EB3251" w:rsidRPr="005B2E32">
        <w:rPr>
          <w:rFonts w:ascii="Times New Roman" w:eastAsia="Times New Roman" w:hAnsi="Times New Roman" w:cs="Times New Roman"/>
          <w:bCs/>
          <w:kern w:val="36"/>
          <w:lang w:eastAsia="fr-FR"/>
        </w:rPr>
        <w:t>Determinants</w:t>
      </w:r>
      <w:proofErr w:type="spellEnd"/>
      <w:r w:rsidR="00EB3251" w:rsidRPr="005B2E32">
        <w:rPr>
          <w:rFonts w:ascii="Times New Roman" w:eastAsia="Times New Roman" w:hAnsi="Times New Roman" w:cs="Times New Roman"/>
          <w:bCs/>
          <w:kern w:val="36"/>
          <w:lang w:eastAsia="fr-FR"/>
        </w:rPr>
        <w:t xml:space="preserve"> of </w:t>
      </w:r>
      <w:proofErr w:type="spellStart"/>
      <w:r w:rsidR="00EB3251" w:rsidRPr="005B2E32">
        <w:rPr>
          <w:rFonts w:ascii="Times New Roman" w:eastAsia="Times New Roman" w:hAnsi="Times New Roman" w:cs="Times New Roman"/>
          <w:bCs/>
          <w:kern w:val="36"/>
          <w:lang w:eastAsia="fr-FR"/>
        </w:rPr>
        <w:t>corporate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climate</w:t>
      </w:r>
      <w:proofErr w:type="spellEnd"/>
      <w:r w:rsidR="00EB3251" w:rsidRPr="005B2E32">
        <w:rPr>
          <w:rFonts w:ascii="Times New Roman" w:eastAsia="Times New Roman" w:hAnsi="Times New Roman" w:cs="Times New Roman"/>
          <w:bCs/>
          <w:kern w:val="36"/>
          <w:lang w:eastAsia="fr-FR"/>
        </w:rPr>
        <w:t xml:space="preserve"> change </w:t>
      </w:r>
      <w:proofErr w:type="spellStart"/>
      <w:r w:rsidRPr="005B2E32">
        <w:rPr>
          <w:rFonts w:ascii="Times New Roman" w:eastAsia="Times New Roman" w:hAnsi="Times New Roman" w:cs="Times New Roman"/>
          <w:bCs/>
          <w:kern w:val="36"/>
          <w:lang w:eastAsia="fr-FR"/>
        </w:rPr>
        <w:t>disclosure</w:t>
      </w:r>
      <w:proofErr w:type="spellEnd"/>
      <w:r w:rsidRPr="005B2E32">
        <w:rPr>
          <w:rFonts w:ascii="Times New Roman" w:eastAsia="Times New Roman" w:hAnsi="Times New Roman" w:cs="Times New Roman"/>
          <w:bCs/>
          <w:kern w:val="36"/>
          <w:lang w:eastAsia="fr-FR"/>
        </w:rPr>
        <w:t xml:space="preserve"> for </w:t>
      </w:r>
      <w:proofErr w:type="spellStart"/>
      <w:r w:rsidRPr="005B2E32">
        <w:rPr>
          <w:rFonts w:ascii="Times New Roman" w:eastAsia="Times New Roman" w:hAnsi="Times New Roman" w:cs="Times New Roman"/>
          <w:bCs/>
          <w:kern w:val="36"/>
          <w:lang w:eastAsia="fr-FR"/>
        </w:rPr>
        <w:t>European</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firms</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Corporate</w:t>
      </w:r>
      <w:proofErr w:type="spellEnd"/>
      <w:r w:rsidR="00EB3251" w:rsidRPr="005B2E32">
        <w:rPr>
          <w:rFonts w:ascii="Times New Roman" w:eastAsia="Times New Roman" w:hAnsi="Times New Roman" w:cs="Times New Roman"/>
          <w:bCs/>
          <w:i/>
          <w:kern w:val="36"/>
          <w:lang w:eastAsia="fr-FR"/>
        </w:rPr>
        <w:t xml:space="preserve"> Social </w:t>
      </w:r>
      <w:proofErr w:type="spellStart"/>
      <w:r w:rsidR="00EB3251" w:rsidRPr="005B2E32">
        <w:rPr>
          <w:rFonts w:ascii="Times New Roman" w:eastAsia="Times New Roman" w:hAnsi="Times New Roman" w:cs="Times New Roman"/>
          <w:bCs/>
          <w:i/>
          <w:kern w:val="36"/>
          <w:lang w:eastAsia="fr-FR"/>
        </w:rPr>
        <w:t>Responsibility</w:t>
      </w:r>
      <w:proofErr w:type="spellEnd"/>
      <w:r w:rsidR="00EB3251" w:rsidRPr="005B2E32">
        <w:rPr>
          <w:rFonts w:ascii="Times New Roman" w:eastAsia="Times New Roman" w:hAnsi="Times New Roman" w:cs="Times New Roman"/>
          <w:bCs/>
          <w:i/>
          <w:kern w:val="36"/>
          <w:lang w:eastAsia="fr-FR"/>
        </w:rPr>
        <w:t xml:space="preserve"> and </w:t>
      </w:r>
      <w:proofErr w:type="spellStart"/>
      <w:r w:rsidR="00EB3251" w:rsidRPr="005B2E32">
        <w:rPr>
          <w:rFonts w:ascii="Times New Roman" w:eastAsia="Times New Roman" w:hAnsi="Times New Roman" w:cs="Times New Roman"/>
          <w:bCs/>
          <w:i/>
          <w:kern w:val="36"/>
          <w:lang w:eastAsia="fr-FR"/>
        </w:rPr>
        <w:t>Environmental</w:t>
      </w:r>
      <w:proofErr w:type="spellEnd"/>
      <w:r w:rsidR="00EB3251" w:rsidRPr="005B2E32">
        <w:rPr>
          <w:rFonts w:ascii="Times New Roman" w:eastAsia="Times New Roman" w:hAnsi="Times New Roman" w:cs="Times New Roman"/>
          <w:bCs/>
          <w:i/>
          <w:kern w:val="36"/>
          <w:lang w:eastAsia="fr-FR"/>
        </w:rPr>
        <w:t xml:space="preserve"> Management</w:t>
      </w:r>
      <w:r w:rsidRPr="005B2E32">
        <w:rPr>
          <w:rFonts w:ascii="Times New Roman" w:eastAsia="Times New Roman" w:hAnsi="Times New Roman" w:cs="Times New Roman"/>
          <w:bCs/>
          <w:kern w:val="36"/>
          <w:lang w:eastAsia="fr-FR"/>
        </w:rPr>
        <w:t xml:space="preserve"> 25 (</w:t>
      </w:r>
      <w:r w:rsidR="00EB3251" w:rsidRPr="005B2E32">
        <w:rPr>
          <w:rFonts w:ascii="Times New Roman" w:eastAsia="Times New Roman" w:hAnsi="Times New Roman" w:cs="Times New Roman"/>
          <w:bCs/>
          <w:kern w:val="36"/>
          <w:lang w:eastAsia="fr-FR"/>
        </w:rPr>
        <w:t>3</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 xml:space="preserve">281-294. </w:t>
      </w:r>
    </w:p>
    <w:p w:rsidR="00EB3251" w:rsidRPr="005B2E32" w:rsidRDefault="00EF33D9"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lastRenderedPageBreak/>
        <w:t>Gillett</w:t>
      </w:r>
      <w:proofErr w:type="spellEnd"/>
      <w:r w:rsidRPr="005B2E32">
        <w:rPr>
          <w:rFonts w:ascii="Times New Roman" w:eastAsia="Times New Roman" w:hAnsi="Times New Roman" w:cs="Times New Roman"/>
          <w:bCs/>
          <w:kern w:val="36"/>
          <w:lang w:eastAsia="fr-FR"/>
        </w:rPr>
        <w:t xml:space="preserve">, N. P., </w:t>
      </w:r>
      <w:proofErr w:type="spellStart"/>
      <w:r w:rsidRPr="005B2E32">
        <w:rPr>
          <w:rFonts w:ascii="Times New Roman" w:eastAsia="Times New Roman" w:hAnsi="Times New Roman" w:cs="Times New Roman"/>
          <w:bCs/>
          <w:kern w:val="36"/>
          <w:lang w:eastAsia="fr-FR"/>
        </w:rPr>
        <w:t>Kirchmeier</w:t>
      </w:r>
      <w:proofErr w:type="spellEnd"/>
      <w:r w:rsidRPr="005B2E32">
        <w:rPr>
          <w:rFonts w:ascii="Times New Roman" w:eastAsia="Times New Roman" w:hAnsi="Times New Roman" w:cs="Times New Roman"/>
          <w:bCs/>
          <w:kern w:val="36"/>
          <w:lang w:eastAsia="fr-FR"/>
        </w:rPr>
        <w:t>-Young, M.,</w:t>
      </w:r>
      <w:r w:rsidR="00A87F33" w:rsidRPr="005B2E32">
        <w:rPr>
          <w:rFonts w:ascii="Times New Roman" w:eastAsia="Times New Roman" w:hAnsi="Times New Roman" w:cs="Times New Roman"/>
          <w:bCs/>
          <w:kern w:val="36"/>
          <w:lang w:eastAsia="fr-FR"/>
        </w:rPr>
        <w:t xml:space="preserve"> </w:t>
      </w:r>
      <w:proofErr w:type="spellStart"/>
      <w:r w:rsidR="00A87F33" w:rsidRPr="005B2E32">
        <w:rPr>
          <w:rFonts w:ascii="Times New Roman" w:eastAsia="Times New Roman" w:hAnsi="Times New Roman" w:cs="Times New Roman"/>
          <w:bCs/>
          <w:kern w:val="36"/>
          <w:lang w:eastAsia="fr-FR"/>
        </w:rPr>
        <w:t>Ribes</w:t>
      </w:r>
      <w:proofErr w:type="spellEnd"/>
      <w:r w:rsidR="00A87F33" w:rsidRPr="005B2E32">
        <w:rPr>
          <w:rFonts w:ascii="Times New Roman" w:eastAsia="Times New Roman" w:hAnsi="Times New Roman" w:cs="Times New Roman"/>
          <w:bCs/>
          <w:kern w:val="36"/>
          <w:lang w:eastAsia="fr-FR"/>
        </w:rPr>
        <w:t xml:space="preserve">, A., </w:t>
      </w:r>
      <w:proofErr w:type="spellStart"/>
      <w:r w:rsidR="00A87F33" w:rsidRPr="005B2E32">
        <w:rPr>
          <w:rFonts w:ascii="Times New Roman" w:eastAsia="Times New Roman" w:hAnsi="Times New Roman" w:cs="Times New Roman"/>
          <w:bCs/>
          <w:kern w:val="36"/>
          <w:lang w:eastAsia="fr-FR"/>
        </w:rPr>
        <w:t>Shiogama</w:t>
      </w:r>
      <w:proofErr w:type="spellEnd"/>
      <w:r w:rsidR="00A87F33" w:rsidRPr="005B2E32">
        <w:rPr>
          <w:rFonts w:ascii="Times New Roman" w:eastAsia="Times New Roman" w:hAnsi="Times New Roman" w:cs="Times New Roman"/>
          <w:bCs/>
          <w:kern w:val="36"/>
          <w:lang w:eastAsia="fr-FR"/>
        </w:rPr>
        <w:t xml:space="preserve">, H., </w:t>
      </w:r>
      <w:proofErr w:type="spellStart"/>
      <w:r w:rsidR="00A87F33" w:rsidRPr="005B2E32">
        <w:rPr>
          <w:rFonts w:ascii="Times New Roman" w:eastAsia="Times New Roman" w:hAnsi="Times New Roman" w:cs="Times New Roman"/>
          <w:bCs/>
          <w:kern w:val="36"/>
          <w:lang w:eastAsia="fr-FR"/>
        </w:rPr>
        <w:t>Hegerl</w:t>
      </w:r>
      <w:proofErr w:type="spellEnd"/>
      <w:r w:rsidR="00A87F33" w:rsidRPr="005B2E32">
        <w:rPr>
          <w:rFonts w:ascii="Times New Roman" w:eastAsia="Times New Roman" w:hAnsi="Times New Roman" w:cs="Times New Roman"/>
          <w:bCs/>
          <w:kern w:val="36"/>
          <w:lang w:eastAsia="fr-FR"/>
        </w:rPr>
        <w:t xml:space="preserve">, G. C., </w:t>
      </w:r>
      <w:proofErr w:type="spellStart"/>
      <w:r w:rsidR="00A87F33" w:rsidRPr="005B2E32">
        <w:rPr>
          <w:rFonts w:ascii="Times New Roman" w:eastAsia="Times New Roman" w:hAnsi="Times New Roman" w:cs="Times New Roman"/>
          <w:bCs/>
          <w:kern w:val="36"/>
          <w:lang w:eastAsia="fr-FR"/>
        </w:rPr>
        <w:t>Knutti</w:t>
      </w:r>
      <w:proofErr w:type="spellEnd"/>
      <w:r w:rsidR="00A87F33" w:rsidRPr="005B2E32">
        <w:rPr>
          <w:rFonts w:ascii="Times New Roman" w:eastAsia="Times New Roman" w:hAnsi="Times New Roman" w:cs="Times New Roman"/>
          <w:bCs/>
          <w:kern w:val="36"/>
          <w:lang w:eastAsia="fr-FR"/>
        </w:rPr>
        <w:t>, R.,</w:t>
      </w:r>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Gastineau</w:t>
      </w:r>
      <w:proofErr w:type="spellEnd"/>
      <w:r w:rsidR="00EB3251" w:rsidRPr="005B2E32">
        <w:rPr>
          <w:rFonts w:ascii="Times New Roman" w:eastAsia="Times New Roman" w:hAnsi="Times New Roman" w:cs="Times New Roman"/>
          <w:bCs/>
          <w:kern w:val="36"/>
          <w:lang w:eastAsia="fr-FR"/>
        </w:rPr>
        <w:t>,</w:t>
      </w:r>
      <w:r w:rsidR="00A87F33" w:rsidRPr="005B2E32">
        <w:rPr>
          <w:rFonts w:ascii="Times New Roman" w:eastAsia="Times New Roman" w:hAnsi="Times New Roman" w:cs="Times New Roman"/>
          <w:bCs/>
          <w:kern w:val="36"/>
          <w:lang w:eastAsia="fr-FR"/>
        </w:rPr>
        <w:t xml:space="preserve"> G., John, J. G., Li, L., </w:t>
      </w:r>
      <w:proofErr w:type="spellStart"/>
      <w:r w:rsidR="00A87F33" w:rsidRPr="005B2E32">
        <w:rPr>
          <w:rFonts w:ascii="Times New Roman" w:eastAsia="Times New Roman" w:hAnsi="Times New Roman" w:cs="Times New Roman"/>
          <w:bCs/>
          <w:kern w:val="36"/>
          <w:lang w:eastAsia="fr-FR"/>
        </w:rPr>
        <w:t>Nazarenko</w:t>
      </w:r>
      <w:proofErr w:type="spellEnd"/>
      <w:r w:rsidR="00A87F33" w:rsidRPr="005B2E32">
        <w:rPr>
          <w:rFonts w:ascii="Times New Roman" w:eastAsia="Times New Roman" w:hAnsi="Times New Roman" w:cs="Times New Roman"/>
          <w:bCs/>
          <w:kern w:val="36"/>
          <w:lang w:eastAsia="fr-FR"/>
        </w:rPr>
        <w:t xml:space="preserve">, L., </w:t>
      </w:r>
      <w:proofErr w:type="spellStart"/>
      <w:r w:rsidR="00A87F33" w:rsidRPr="005B2E32">
        <w:rPr>
          <w:rFonts w:ascii="Times New Roman" w:eastAsia="Times New Roman" w:hAnsi="Times New Roman" w:cs="Times New Roman"/>
          <w:bCs/>
          <w:kern w:val="36"/>
          <w:lang w:eastAsia="fr-FR"/>
        </w:rPr>
        <w:t>Rosenbloom</w:t>
      </w:r>
      <w:proofErr w:type="spellEnd"/>
      <w:r w:rsidR="00A87F33" w:rsidRPr="005B2E32">
        <w:rPr>
          <w:rFonts w:ascii="Times New Roman" w:eastAsia="Times New Roman" w:hAnsi="Times New Roman" w:cs="Times New Roman"/>
          <w:bCs/>
          <w:kern w:val="36"/>
          <w:lang w:eastAsia="fr-FR"/>
        </w:rPr>
        <w:t xml:space="preserve">, N., </w:t>
      </w:r>
      <w:proofErr w:type="spellStart"/>
      <w:r w:rsidR="00A87F33" w:rsidRPr="005B2E32">
        <w:rPr>
          <w:rFonts w:ascii="Times New Roman" w:eastAsia="Times New Roman" w:hAnsi="Times New Roman" w:cs="Times New Roman"/>
          <w:bCs/>
          <w:kern w:val="36"/>
          <w:lang w:eastAsia="fr-FR"/>
        </w:rPr>
        <w:t>Seland</w:t>
      </w:r>
      <w:proofErr w:type="spellEnd"/>
      <w:r w:rsidR="00A87F33" w:rsidRPr="005B2E32">
        <w:rPr>
          <w:rFonts w:ascii="Times New Roman" w:eastAsia="Times New Roman" w:hAnsi="Times New Roman" w:cs="Times New Roman"/>
          <w:bCs/>
          <w:kern w:val="36"/>
          <w:lang w:eastAsia="fr-FR"/>
        </w:rPr>
        <w:t xml:space="preserve">, O., Wu, T., </w:t>
      </w:r>
      <w:proofErr w:type="spellStart"/>
      <w:r w:rsidR="00A87F33" w:rsidRPr="005B2E32">
        <w:rPr>
          <w:rFonts w:ascii="Times New Roman" w:eastAsia="Times New Roman" w:hAnsi="Times New Roman" w:cs="Times New Roman"/>
          <w:bCs/>
          <w:kern w:val="36"/>
          <w:lang w:eastAsia="fr-FR"/>
        </w:rPr>
        <w:t>Yukimoto</w:t>
      </w:r>
      <w:proofErr w:type="spellEnd"/>
      <w:r w:rsidR="00A87F33" w:rsidRPr="005B2E32">
        <w:rPr>
          <w:rFonts w:ascii="Times New Roman" w:eastAsia="Times New Roman" w:hAnsi="Times New Roman" w:cs="Times New Roman"/>
          <w:bCs/>
          <w:kern w:val="36"/>
          <w:lang w:eastAsia="fr-FR"/>
        </w:rPr>
        <w:t xml:space="preserve">, S., </w:t>
      </w:r>
      <w:proofErr w:type="spellStart"/>
      <w:r w:rsidR="00A87F33" w:rsidRPr="005B2E32">
        <w:rPr>
          <w:rFonts w:ascii="Times New Roman" w:eastAsia="Times New Roman" w:hAnsi="Times New Roman" w:cs="Times New Roman"/>
          <w:bCs/>
          <w:kern w:val="36"/>
          <w:lang w:eastAsia="fr-FR"/>
        </w:rPr>
        <w:t>Ziehn</w:t>
      </w:r>
      <w:proofErr w:type="spellEnd"/>
      <w:r w:rsidR="00A87F33" w:rsidRPr="005B2E32">
        <w:rPr>
          <w:rFonts w:ascii="Times New Roman" w:eastAsia="Times New Roman" w:hAnsi="Times New Roman" w:cs="Times New Roman"/>
          <w:bCs/>
          <w:kern w:val="36"/>
          <w:lang w:eastAsia="fr-FR"/>
        </w:rPr>
        <w:t xml:space="preserve">, T. (2021). </w:t>
      </w:r>
      <w:proofErr w:type="spellStart"/>
      <w:r w:rsidR="00EB3251" w:rsidRPr="005B2E32">
        <w:rPr>
          <w:rFonts w:ascii="Times New Roman" w:eastAsia="Times New Roman" w:hAnsi="Times New Roman" w:cs="Times New Roman"/>
          <w:bCs/>
          <w:kern w:val="36"/>
          <w:lang w:eastAsia="fr-FR"/>
        </w:rPr>
        <w:t>Constraining</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human</w:t>
      </w:r>
      <w:proofErr w:type="spellEnd"/>
      <w:r w:rsidR="00EB3251" w:rsidRPr="005B2E32">
        <w:rPr>
          <w:rFonts w:ascii="Times New Roman" w:eastAsia="Times New Roman" w:hAnsi="Times New Roman" w:cs="Times New Roman"/>
          <w:bCs/>
          <w:kern w:val="36"/>
          <w:lang w:eastAsia="fr-FR"/>
        </w:rPr>
        <w:t xml:space="preserve"> contributions to </w:t>
      </w:r>
      <w:proofErr w:type="spellStart"/>
      <w:r w:rsidR="00EB3251" w:rsidRPr="005B2E32">
        <w:rPr>
          <w:rFonts w:ascii="Times New Roman" w:eastAsia="Times New Roman" w:hAnsi="Times New Roman" w:cs="Times New Roman"/>
          <w:bCs/>
          <w:kern w:val="36"/>
          <w:lang w:eastAsia="fr-FR"/>
        </w:rPr>
        <w:t>observed</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warming</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since</w:t>
      </w:r>
      <w:proofErr w:type="spellEnd"/>
      <w:r w:rsidR="00EB3251" w:rsidRPr="005B2E32">
        <w:rPr>
          <w:rFonts w:ascii="Times New Roman" w:eastAsia="Times New Roman" w:hAnsi="Times New Roman" w:cs="Times New Roman"/>
          <w:bCs/>
          <w:kern w:val="36"/>
          <w:lang w:eastAsia="fr-FR"/>
        </w:rPr>
        <w:t xml:space="preserve"> the </w:t>
      </w:r>
      <w:proofErr w:type="spellStart"/>
      <w:r w:rsidR="00EB3251" w:rsidRPr="005B2E32">
        <w:rPr>
          <w:rFonts w:ascii="Times New Roman" w:eastAsia="Times New Roman" w:hAnsi="Times New Roman" w:cs="Times New Roman"/>
          <w:bCs/>
          <w:kern w:val="36"/>
          <w:lang w:eastAsia="fr-FR"/>
        </w:rPr>
        <w:t>pre-industrial</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period</w:t>
      </w:r>
      <w:proofErr w:type="spellEnd"/>
      <w:r w:rsidR="00A87F33"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 xml:space="preserve">Nature </w:t>
      </w:r>
      <w:proofErr w:type="spellStart"/>
      <w:r w:rsidR="00EB3251" w:rsidRPr="005B2E32">
        <w:rPr>
          <w:rFonts w:ascii="Times New Roman" w:eastAsia="Times New Roman" w:hAnsi="Times New Roman" w:cs="Times New Roman"/>
          <w:bCs/>
          <w:i/>
          <w:kern w:val="36"/>
          <w:lang w:eastAsia="fr-FR"/>
        </w:rPr>
        <w:t>Climate</w:t>
      </w:r>
      <w:proofErr w:type="spellEnd"/>
      <w:r w:rsidR="00EB3251" w:rsidRPr="005B2E32">
        <w:rPr>
          <w:rFonts w:ascii="Times New Roman" w:eastAsia="Times New Roman" w:hAnsi="Times New Roman" w:cs="Times New Roman"/>
          <w:bCs/>
          <w:i/>
          <w:kern w:val="36"/>
          <w:lang w:eastAsia="fr-FR"/>
        </w:rPr>
        <w:t xml:space="preserve"> Change</w:t>
      </w:r>
      <w:r w:rsidR="00A87F33" w:rsidRPr="005B2E32">
        <w:rPr>
          <w:rFonts w:ascii="Times New Roman" w:eastAsia="Times New Roman" w:hAnsi="Times New Roman" w:cs="Times New Roman"/>
          <w:bCs/>
          <w:kern w:val="36"/>
          <w:lang w:eastAsia="fr-FR"/>
        </w:rPr>
        <w:t xml:space="preserve"> </w:t>
      </w:r>
      <w:proofErr w:type="gramStart"/>
      <w:r w:rsidR="00A87F33" w:rsidRPr="005B2E32">
        <w:rPr>
          <w:rFonts w:ascii="Times New Roman" w:eastAsia="Times New Roman" w:hAnsi="Times New Roman" w:cs="Times New Roman"/>
          <w:bCs/>
          <w:kern w:val="36"/>
          <w:lang w:eastAsia="fr-FR"/>
        </w:rPr>
        <w:t>11:</w:t>
      </w:r>
      <w:proofErr w:type="gramEnd"/>
      <w:r w:rsidR="00A87F33"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207-212.</w:t>
      </w:r>
    </w:p>
    <w:p w:rsidR="00EB3251" w:rsidRPr="005B2E32" w:rsidRDefault="00A87F33"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Grauel</w:t>
      </w:r>
      <w:proofErr w:type="spellEnd"/>
      <w:r w:rsidRPr="005B2E32">
        <w:rPr>
          <w:rFonts w:ascii="Times New Roman" w:eastAsia="Times New Roman" w:hAnsi="Times New Roman" w:cs="Times New Roman"/>
          <w:bCs/>
          <w:kern w:val="36"/>
          <w:lang w:eastAsia="fr-FR"/>
        </w:rPr>
        <w:t xml:space="preserve">, J., </w:t>
      </w:r>
      <w:proofErr w:type="spellStart"/>
      <w:r w:rsidRPr="005B2E32">
        <w:rPr>
          <w:rFonts w:ascii="Times New Roman" w:eastAsia="Times New Roman" w:hAnsi="Times New Roman" w:cs="Times New Roman"/>
          <w:bCs/>
          <w:kern w:val="36"/>
          <w:lang w:eastAsia="fr-FR"/>
        </w:rPr>
        <w:t>Gotthardt</w:t>
      </w:r>
      <w:proofErr w:type="spellEnd"/>
      <w:r w:rsidRPr="005B2E32">
        <w:rPr>
          <w:rFonts w:ascii="Times New Roman" w:eastAsia="Times New Roman" w:hAnsi="Times New Roman" w:cs="Times New Roman"/>
          <w:bCs/>
          <w:kern w:val="36"/>
          <w:lang w:eastAsia="fr-FR"/>
        </w:rPr>
        <w:t xml:space="preserve">, D. (2016). </w:t>
      </w:r>
      <w:r w:rsidR="00EB3251" w:rsidRPr="005B2E32">
        <w:rPr>
          <w:rFonts w:ascii="Times New Roman" w:eastAsia="Times New Roman" w:hAnsi="Times New Roman" w:cs="Times New Roman"/>
          <w:bCs/>
          <w:kern w:val="36"/>
          <w:lang w:eastAsia="fr-FR"/>
        </w:rPr>
        <w:t xml:space="preserve">The relevance of national </w:t>
      </w:r>
      <w:proofErr w:type="spellStart"/>
      <w:r w:rsidR="00EB3251" w:rsidRPr="005B2E32">
        <w:rPr>
          <w:rFonts w:ascii="Times New Roman" w:eastAsia="Times New Roman" w:hAnsi="Times New Roman" w:cs="Times New Roman"/>
          <w:bCs/>
          <w:kern w:val="36"/>
          <w:lang w:eastAsia="fr-FR"/>
        </w:rPr>
        <w:t>contexts</w:t>
      </w:r>
      <w:proofErr w:type="spellEnd"/>
      <w:r w:rsidR="00EB3251" w:rsidRPr="005B2E32">
        <w:rPr>
          <w:rFonts w:ascii="Times New Roman" w:eastAsia="Times New Roman" w:hAnsi="Times New Roman" w:cs="Times New Roman"/>
          <w:bCs/>
          <w:kern w:val="36"/>
          <w:lang w:eastAsia="fr-FR"/>
        </w:rPr>
        <w:t xml:space="preserve"> for </w:t>
      </w:r>
      <w:proofErr w:type="spellStart"/>
      <w:r w:rsidR="00EB3251" w:rsidRPr="005B2E32">
        <w:rPr>
          <w:rFonts w:ascii="Times New Roman" w:eastAsia="Times New Roman" w:hAnsi="Times New Roman" w:cs="Times New Roman"/>
          <w:bCs/>
          <w:kern w:val="36"/>
          <w:lang w:eastAsia="fr-FR"/>
        </w:rPr>
        <w:t>carbon</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disclosure</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decisions</w:t>
      </w:r>
      <w:proofErr w:type="spellEnd"/>
      <w:r w:rsidR="00EB3251" w:rsidRPr="005B2E32">
        <w:rPr>
          <w:rFonts w:ascii="Times New Roman" w:eastAsia="Times New Roman" w:hAnsi="Times New Roman" w:cs="Times New Roman"/>
          <w:bCs/>
          <w:kern w:val="36"/>
          <w:lang w:eastAsia="fr-FR"/>
        </w:rPr>
        <w:t xml:space="preserve"> of stock-</w:t>
      </w:r>
      <w:proofErr w:type="spellStart"/>
      <w:r w:rsidR="00EB3251" w:rsidRPr="005B2E32">
        <w:rPr>
          <w:rFonts w:ascii="Times New Roman" w:eastAsia="Times New Roman" w:hAnsi="Times New Roman" w:cs="Times New Roman"/>
          <w:bCs/>
          <w:kern w:val="36"/>
          <w:lang w:eastAsia="fr-FR"/>
        </w:rPr>
        <w:t>listed</w:t>
      </w:r>
      <w:proofErr w:type="spellEnd"/>
      <w:r w:rsidR="00EB3251" w:rsidRPr="005B2E32">
        <w:rPr>
          <w:rFonts w:ascii="Times New Roman" w:eastAsia="Times New Roman" w:hAnsi="Times New Roman" w:cs="Times New Roman"/>
          <w:bCs/>
          <w:kern w:val="36"/>
          <w:lang w:eastAsia="fr-FR"/>
        </w:rPr>
        <w:t xml:space="preserve"> </w:t>
      </w:r>
      <w:proofErr w:type="spellStart"/>
      <w:proofErr w:type="gramStart"/>
      <w:r w:rsidR="00EB3251" w:rsidRPr="005B2E32">
        <w:rPr>
          <w:rFonts w:ascii="Times New Roman" w:eastAsia="Times New Roman" w:hAnsi="Times New Roman" w:cs="Times New Roman"/>
          <w:bCs/>
          <w:kern w:val="36"/>
          <w:lang w:eastAsia="fr-FR"/>
        </w:rPr>
        <w:t>compa</w:t>
      </w:r>
      <w:r w:rsidRPr="005B2E32">
        <w:rPr>
          <w:rFonts w:ascii="Times New Roman" w:eastAsia="Times New Roman" w:hAnsi="Times New Roman" w:cs="Times New Roman"/>
          <w:bCs/>
          <w:kern w:val="36"/>
          <w:lang w:eastAsia="fr-FR"/>
        </w:rPr>
        <w:t>nies</w:t>
      </w:r>
      <w:proofErr w:type="spellEnd"/>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A </w:t>
      </w:r>
      <w:proofErr w:type="spellStart"/>
      <w:r w:rsidRPr="005B2E32">
        <w:rPr>
          <w:rFonts w:ascii="Times New Roman" w:eastAsia="Times New Roman" w:hAnsi="Times New Roman" w:cs="Times New Roman"/>
          <w:bCs/>
          <w:kern w:val="36"/>
          <w:lang w:eastAsia="fr-FR"/>
        </w:rPr>
        <w:t>multivariate</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analysis</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 xml:space="preserve">Journal of </w:t>
      </w:r>
      <w:proofErr w:type="spellStart"/>
      <w:r w:rsidR="00EB3251" w:rsidRPr="005B2E32">
        <w:rPr>
          <w:rFonts w:ascii="Times New Roman" w:eastAsia="Times New Roman" w:hAnsi="Times New Roman" w:cs="Times New Roman"/>
          <w:bCs/>
          <w:i/>
          <w:kern w:val="36"/>
          <w:lang w:eastAsia="fr-FR"/>
        </w:rPr>
        <w:t>Cleaner</w:t>
      </w:r>
      <w:proofErr w:type="spellEnd"/>
      <w:r w:rsidR="00EB3251" w:rsidRPr="005B2E32">
        <w:rPr>
          <w:rFonts w:ascii="Times New Roman" w:eastAsia="Times New Roman" w:hAnsi="Times New Roman" w:cs="Times New Roman"/>
          <w:bCs/>
          <w:i/>
          <w:kern w:val="36"/>
          <w:lang w:eastAsia="fr-FR"/>
        </w:rPr>
        <w:t xml:space="preserve"> Production</w:t>
      </w:r>
      <w:r w:rsidRPr="005B2E32">
        <w:rPr>
          <w:rFonts w:ascii="Times New Roman" w:eastAsia="Times New Roman" w:hAnsi="Times New Roman" w:cs="Times New Roman"/>
          <w:bCs/>
          <w:kern w:val="36"/>
          <w:lang w:eastAsia="fr-FR"/>
        </w:rPr>
        <w:t xml:space="preserve"> </w:t>
      </w:r>
      <w:proofErr w:type="gramStart"/>
      <w:r w:rsidRPr="005B2E32">
        <w:rPr>
          <w:rFonts w:ascii="Times New Roman" w:eastAsia="Times New Roman" w:hAnsi="Times New Roman" w:cs="Times New Roman"/>
          <w:bCs/>
          <w:kern w:val="36"/>
          <w:lang w:eastAsia="fr-FR"/>
        </w:rPr>
        <w:t>133:</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1204-1217.</w:t>
      </w:r>
    </w:p>
    <w:p w:rsidR="00EB3251" w:rsidRPr="005B2E32" w:rsidRDefault="00EB3251" w:rsidP="005B2E32">
      <w:pPr>
        <w:spacing w:after="0" w:line="480" w:lineRule="auto"/>
        <w:jc w:val="both"/>
        <w:outlineLvl w:val="0"/>
        <w:rPr>
          <w:rFonts w:ascii="Times New Roman" w:eastAsia="Times New Roman" w:hAnsi="Times New Roman" w:cs="Times New Roman"/>
          <w:bCs/>
          <w:kern w:val="36"/>
          <w:lang w:eastAsia="fr-FR"/>
        </w:rPr>
      </w:pPr>
      <w:r w:rsidRPr="005B2E32">
        <w:rPr>
          <w:rFonts w:ascii="Times New Roman" w:eastAsia="Times New Roman" w:hAnsi="Times New Roman" w:cs="Times New Roman"/>
          <w:bCs/>
          <w:kern w:val="36"/>
          <w:lang w:eastAsia="fr-FR"/>
        </w:rPr>
        <w:t xml:space="preserve">Guenther, </w:t>
      </w:r>
      <w:r w:rsidR="00A87F33" w:rsidRPr="005B2E32">
        <w:rPr>
          <w:rFonts w:ascii="Times New Roman" w:eastAsia="Times New Roman" w:hAnsi="Times New Roman" w:cs="Times New Roman"/>
          <w:bCs/>
          <w:kern w:val="36"/>
          <w:lang w:eastAsia="fr-FR"/>
        </w:rPr>
        <w:t xml:space="preserve">E., Günther, T., </w:t>
      </w:r>
      <w:proofErr w:type="spellStart"/>
      <w:r w:rsidR="00A87F33" w:rsidRPr="005B2E32">
        <w:rPr>
          <w:rFonts w:ascii="Times New Roman" w:eastAsia="Times New Roman" w:hAnsi="Times New Roman" w:cs="Times New Roman"/>
          <w:bCs/>
          <w:kern w:val="36"/>
          <w:lang w:eastAsia="fr-FR"/>
        </w:rPr>
        <w:t>Schiemann</w:t>
      </w:r>
      <w:proofErr w:type="spellEnd"/>
      <w:r w:rsidR="00A87F33" w:rsidRPr="005B2E32">
        <w:rPr>
          <w:rFonts w:ascii="Times New Roman" w:eastAsia="Times New Roman" w:hAnsi="Times New Roman" w:cs="Times New Roman"/>
          <w:bCs/>
          <w:kern w:val="36"/>
          <w:lang w:eastAsia="fr-FR"/>
        </w:rPr>
        <w:t xml:space="preserve">, F., Weber, G. (2016). </w:t>
      </w:r>
      <w:proofErr w:type="spellStart"/>
      <w:r w:rsidRPr="005B2E32">
        <w:rPr>
          <w:rFonts w:ascii="Times New Roman" w:eastAsia="Times New Roman" w:hAnsi="Times New Roman" w:cs="Times New Roman"/>
          <w:bCs/>
          <w:kern w:val="36"/>
          <w:lang w:eastAsia="fr-FR"/>
        </w:rPr>
        <w:t>Stakeholder</w:t>
      </w:r>
      <w:proofErr w:type="spellEnd"/>
      <w:r w:rsidRPr="005B2E32">
        <w:rPr>
          <w:rFonts w:ascii="Times New Roman" w:eastAsia="Times New Roman" w:hAnsi="Times New Roman" w:cs="Times New Roman"/>
          <w:bCs/>
          <w:kern w:val="36"/>
          <w:lang w:eastAsia="fr-FR"/>
        </w:rPr>
        <w:t xml:space="preserve"> relevance for </w:t>
      </w:r>
      <w:proofErr w:type="spellStart"/>
      <w:proofErr w:type="gramStart"/>
      <w:r w:rsidRPr="005B2E32">
        <w:rPr>
          <w:rFonts w:ascii="Times New Roman" w:eastAsia="Times New Roman" w:hAnsi="Times New Roman" w:cs="Times New Roman"/>
          <w:bCs/>
          <w:kern w:val="36"/>
          <w:lang w:eastAsia="fr-FR"/>
        </w:rPr>
        <w:t>reporting</w:t>
      </w:r>
      <w:proofErr w:type="spellEnd"/>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Explanatory</w:t>
      </w:r>
      <w:proofErr w:type="spellEnd"/>
      <w:r w:rsidR="00A87F33" w:rsidRPr="005B2E32">
        <w:rPr>
          <w:rFonts w:ascii="Times New Roman" w:eastAsia="Times New Roman" w:hAnsi="Times New Roman" w:cs="Times New Roman"/>
          <w:bCs/>
          <w:kern w:val="36"/>
          <w:lang w:eastAsia="fr-FR"/>
        </w:rPr>
        <w:t xml:space="preserve"> </w:t>
      </w:r>
      <w:proofErr w:type="spellStart"/>
      <w:r w:rsidR="00A87F33" w:rsidRPr="005B2E32">
        <w:rPr>
          <w:rFonts w:ascii="Times New Roman" w:eastAsia="Times New Roman" w:hAnsi="Times New Roman" w:cs="Times New Roman"/>
          <w:bCs/>
          <w:kern w:val="36"/>
          <w:lang w:eastAsia="fr-FR"/>
        </w:rPr>
        <w:t>factors</w:t>
      </w:r>
      <w:proofErr w:type="spellEnd"/>
      <w:r w:rsidR="00A87F33" w:rsidRPr="005B2E32">
        <w:rPr>
          <w:rFonts w:ascii="Times New Roman" w:eastAsia="Times New Roman" w:hAnsi="Times New Roman" w:cs="Times New Roman"/>
          <w:bCs/>
          <w:kern w:val="36"/>
          <w:lang w:eastAsia="fr-FR"/>
        </w:rPr>
        <w:t xml:space="preserve"> of </w:t>
      </w:r>
      <w:proofErr w:type="spellStart"/>
      <w:r w:rsidR="00A87F33" w:rsidRPr="005B2E32">
        <w:rPr>
          <w:rFonts w:ascii="Times New Roman" w:eastAsia="Times New Roman" w:hAnsi="Times New Roman" w:cs="Times New Roman"/>
          <w:bCs/>
          <w:kern w:val="36"/>
          <w:lang w:eastAsia="fr-FR"/>
        </w:rPr>
        <w:t>carbon</w:t>
      </w:r>
      <w:proofErr w:type="spellEnd"/>
      <w:r w:rsidR="00A87F33" w:rsidRPr="005B2E32">
        <w:rPr>
          <w:rFonts w:ascii="Times New Roman" w:eastAsia="Times New Roman" w:hAnsi="Times New Roman" w:cs="Times New Roman"/>
          <w:bCs/>
          <w:kern w:val="36"/>
          <w:lang w:eastAsia="fr-FR"/>
        </w:rPr>
        <w:t xml:space="preserve"> </w:t>
      </w:r>
      <w:proofErr w:type="spellStart"/>
      <w:r w:rsidR="00A87F33" w:rsidRPr="005B2E32">
        <w:rPr>
          <w:rFonts w:ascii="Times New Roman" w:eastAsia="Times New Roman" w:hAnsi="Times New Roman" w:cs="Times New Roman"/>
          <w:bCs/>
          <w:kern w:val="36"/>
          <w:lang w:eastAsia="fr-FR"/>
        </w:rPr>
        <w:t>disclosure</w:t>
      </w:r>
      <w:proofErr w:type="spellEnd"/>
      <w:r w:rsidR="00A87F33" w:rsidRPr="005B2E32">
        <w:rPr>
          <w:rFonts w:ascii="Times New Roman" w:eastAsia="Times New Roman" w:hAnsi="Times New Roman" w:cs="Times New Roman"/>
          <w:bCs/>
          <w:kern w:val="36"/>
          <w:lang w:eastAsia="fr-FR"/>
        </w:rPr>
        <w:t>.</w:t>
      </w:r>
      <w:r w:rsidRPr="005B2E32">
        <w:rPr>
          <w:rFonts w:ascii="Times New Roman" w:eastAsia="Times New Roman" w:hAnsi="Times New Roman" w:cs="Times New Roman"/>
          <w:bCs/>
          <w:kern w:val="36"/>
          <w:lang w:eastAsia="fr-FR"/>
        </w:rPr>
        <w:t xml:space="preserve"> </w:t>
      </w:r>
      <w:r w:rsidRPr="005B2E32">
        <w:rPr>
          <w:rFonts w:ascii="Times New Roman" w:eastAsia="Times New Roman" w:hAnsi="Times New Roman" w:cs="Times New Roman"/>
          <w:bCs/>
          <w:i/>
          <w:kern w:val="36"/>
          <w:lang w:eastAsia="fr-FR"/>
        </w:rPr>
        <w:t>Business &amp; Society</w:t>
      </w:r>
      <w:r w:rsidR="00A87F33" w:rsidRPr="005B2E32">
        <w:rPr>
          <w:rFonts w:ascii="Times New Roman" w:eastAsia="Times New Roman" w:hAnsi="Times New Roman" w:cs="Times New Roman"/>
          <w:bCs/>
          <w:kern w:val="36"/>
          <w:lang w:eastAsia="fr-FR"/>
        </w:rPr>
        <w:t xml:space="preserve"> 55 (</w:t>
      </w:r>
      <w:r w:rsidRPr="005B2E32">
        <w:rPr>
          <w:rFonts w:ascii="Times New Roman" w:eastAsia="Times New Roman" w:hAnsi="Times New Roman" w:cs="Times New Roman"/>
          <w:bCs/>
          <w:kern w:val="36"/>
          <w:lang w:eastAsia="fr-FR"/>
        </w:rPr>
        <w:t>3</w:t>
      </w:r>
      <w:proofErr w:type="gramStart"/>
      <w:r w:rsidR="00A87F33" w:rsidRPr="005B2E32">
        <w:rPr>
          <w:rFonts w:ascii="Times New Roman" w:eastAsia="Times New Roman" w:hAnsi="Times New Roman" w:cs="Times New Roman"/>
          <w:bCs/>
          <w:kern w:val="36"/>
          <w:lang w:eastAsia="fr-FR"/>
        </w:rPr>
        <w:t>):</w:t>
      </w:r>
      <w:proofErr w:type="gramEnd"/>
      <w:r w:rsidR="00A87F33" w:rsidRPr="005B2E32">
        <w:rPr>
          <w:rFonts w:ascii="Times New Roman" w:eastAsia="Times New Roman" w:hAnsi="Times New Roman" w:cs="Times New Roman"/>
          <w:bCs/>
          <w:kern w:val="36"/>
          <w:lang w:eastAsia="fr-FR"/>
        </w:rPr>
        <w:t xml:space="preserve"> </w:t>
      </w:r>
      <w:r w:rsidRPr="005B2E32">
        <w:rPr>
          <w:rFonts w:ascii="Times New Roman" w:eastAsia="Times New Roman" w:hAnsi="Times New Roman" w:cs="Times New Roman"/>
          <w:bCs/>
          <w:kern w:val="36"/>
          <w:lang w:eastAsia="fr-FR"/>
        </w:rPr>
        <w:t>361-397.</w:t>
      </w:r>
    </w:p>
    <w:p w:rsidR="00EB3251" w:rsidRPr="005B2E32" w:rsidRDefault="00A87F33" w:rsidP="005B2E32">
      <w:pPr>
        <w:spacing w:after="0" w:line="480" w:lineRule="auto"/>
        <w:jc w:val="both"/>
        <w:outlineLvl w:val="0"/>
        <w:rPr>
          <w:rFonts w:ascii="Times New Roman" w:eastAsia="Times New Roman" w:hAnsi="Times New Roman" w:cs="Times New Roman"/>
          <w:bCs/>
          <w:kern w:val="36"/>
          <w:lang w:eastAsia="fr-FR"/>
        </w:rPr>
      </w:pPr>
      <w:r w:rsidRPr="005B2E32">
        <w:rPr>
          <w:rFonts w:ascii="Times New Roman" w:eastAsia="Times New Roman" w:hAnsi="Times New Roman" w:cs="Times New Roman"/>
          <w:bCs/>
          <w:kern w:val="36"/>
          <w:lang w:eastAsia="fr-FR"/>
        </w:rPr>
        <w:t xml:space="preserve">Guo, Y., Yang D. C. (2017). </w:t>
      </w:r>
      <w:proofErr w:type="spellStart"/>
      <w:r w:rsidR="00EB3251" w:rsidRPr="005B2E32">
        <w:rPr>
          <w:rFonts w:ascii="Times New Roman" w:eastAsia="Times New Roman" w:hAnsi="Times New Roman" w:cs="Times New Roman"/>
          <w:bCs/>
          <w:kern w:val="36"/>
          <w:lang w:eastAsia="fr-FR"/>
        </w:rPr>
        <w:t>Does</w:t>
      </w:r>
      <w:proofErr w:type="spellEnd"/>
      <w:r w:rsidR="00EB3251" w:rsidRPr="005B2E32">
        <w:rPr>
          <w:rFonts w:ascii="Times New Roman" w:eastAsia="Times New Roman" w:hAnsi="Times New Roman" w:cs="Times New Roman"/>
          <w:bCs/>
          <w:kern w:val="36"/>
          <w:lang w:eastAsia="fr-FR"/>
        </w:rPr>
        <w:t xml:space="preserve"> the 2010 SEC </w:t>
      </w:r>
      <w:proofErr w:type="spellStart"/>
      <w:r w:rsidR="00EB3251" w:rsidRPr="005B2E32">
        <w:rPr>
          <w:rFonts w:ascii="Times New Roman" w:eastAsia="Times New Roman" w:hAnsi="Times New Roman" w:cs="Times New Roman"/>
          <w:bCs/>
          <w:kern w:val="36"/>
          <w:lang w:eastAsia="fr-FR"/>
        </w:rPr>
        <w:t>climate</w:t>
      </w:r>
      <w:proofErr w:type="spellEnd"/>
      <w:r w:rsidR="00EB3251" w:rsidRPr="005B2E32">
        <w:rPr>
          <w:rFonts w:ascii="Times New Roman" w:eastAsia="Times New Roman" w:hAnsi="Times New Roman" w:cs="Times New Roman"/>
          <w:bCs/>
          <w:kern w:val="36"/>
          <w:lang w:eastAsia="fr-FR"/>
        </w:rPr>
        <w:t xml:space="preserve"> change </w:t>
      </w:r>
      <w:proofErr w:type="spellStart"/>
      <w:r w:rsidR="00EB3251" w:rsidRPr="005B2E32">
        <w:rPr>
          <w:rFonts w:ascii="Times New Roman" w:eastAsia="Times New Roman" w:hAnsi="Times New Roman" w:cs="Times New Roman"/>
          <w:bCs/>
          <w:kern w:val="36"/>
          <w:lang w:eastAsia="fr-FR"/>
        </w:rPr>
        <w:t>disclosure</w:t>
      </w:r>
      <w:proofErr w:type="spellEnd"/>
      <w:r w:rsidR="00EB3251" w:rsidRPr="005B2E32">
        <w:rPr>
          <w:rFonts w:ascii="Times New Roman" w:eastAsia="Times New Roman" w:hAnsi="Times New Roman" w:cs="Times New Roman"/>
          <w:bCs/>
          <w:kern w:val="36"/>
          <w:lang w:eastAsia="fr-FR"/>
        </w:rPr>
        <w:t xml:space="preserve"> guidance change </w:t>
      </w:r>
      <w:proofErr w:type="spellStart"/>
      <w:r w:rsidR="00EB3251" w:rsidRPr="005B2E32">
        <w:rPr>
          <w:rFonts w:ascii="Times New Roman" w:eastAsia="Times New Roman" w:hAnsi="Times New Roman" w:cs="Times New Roman"/>
          <w:bCs/>
          <w:kern w:val="36"/>
          <w:lang w:eastAsia="fr-FR"/>
        </w:rPr>
        <w:t>firms</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corporate</w:t>
      </w:r>
      <w:proofErr w:type="spellEnd"/>
      <w:r w:rsidR="00EB3251" w:rsidRPr="005B2E32">
        <w:rPr>
          <w:rFonts w:ascii="Times New Roman" w:eastAsia="Times New Roman" w:hAnsi="Times New Roman" w:cs="Times New Roman"/>
          <w:bCs/>
          <w:kern w:val="36"/>
          <w:lang w:eastAsia="fr-FR"/>
        </w:rPr>
        <w:t xml:space="preserve"> soci</w:t>
      </w:r>
      <w:r w:rsidRPr="005B2E32">
        <w:rPr>
          <w:rFonts w:ascii="Times New Roman" w:eastAsia="Times New Roman" w:hAnsi="Times New Roman" w:cs="Times New Roman"/>
          <w:bCs/>
          <w:kern w:val="36"/>
          <w:lang w:eastAsia="fr-FR"/>
        </w:rPr>
        <w:t xml:space="preserve">al </w:t>
      </w:r>
      <w:proofErr w:type="spellStart"/>
      <w:r w:rsidRPr="005B2E32">
        <w:rPr>
          <w:rFonts w:ascii="Times New Roman" w:eastAsia="Times New Roman" w:hAnsi="Times New Roman" w:cs="Times New Roman"/>
          <w:bCs/>
          <w:kern w:val="36"/>
          <w:lang w:eastAsia="fr-FR"/>
        </w:rPr>
        <w:t>responsibility</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reporting</w:t>
      </w:r>
      <w:proofErr w:type="spellEnd"/>
      <w:r w:rsidRPr="005B2E32">
        <w:rPr>
          <w:rFonts w:ascii="Times New Roman" w:eastAsia="Times New Roman" w:hAnsi="Times New Roman" w:cs="Times New Roman"/>
          <w:bCs/>
          <w:kern w:val="36"/>
          <w:lang w:eastAsia="fr-FR"/>
        </w:rPr>
        <w:t> ?</w:t>
      </w:r>
      <w:r w:rsidR="00EB3251"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i/>
          <w:kern w:val="36"/>
          <w:lang w:eastAsia="fr-FR"/>
        </w:rPr>
        <w:t>International Journal of Business</w:t>
      </w:r>
      <w:r w:rsidRPr="005B2E32">
        <w:rPr>
          <w:rFonts w:ascii="Times New Roman" w:eastAsia="Times New Roman" w:hAnsi="Times New Roman" w:cs="Times New Roman"/>
          <w:bCs/>
          <w:kern w:val="36"/>
          <w:lang w:eastAsia="fr-FR"/>
        </w:rPr>
        <w:t xml:space="preserve"> 22 (</w:t>
      </w:r>
      <w:r w:rsidR="00EB3251" w:rsidRPr="005B2E32">
        <w:rPr>
          <w:rFonts w:ascii="Times New Roman" w:eastAsia="Times New Roman" w:hAnsi="Times New Roman" w:cs="Times New Roman"/>
          <w:bCs/>
          <w:kern w:val="36"/>
          <w:lang w:eastAsia="fr-FR"/>
        </w:rPr>
        <w:t>1</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25-40.</w:t>
      </w:r>
    </w:p>
    <w:p w:rsidR="00EB3251" w:rsidRPr="005B2E32" w:rsidRDefault="00A87F33" w:rsidP="005B2E32">
      <w:pPr>
        <w:spacing w:after="0" w:line="480" w:lineRule="auto"/>
        <w:jc w:val="both"/>
        <w:outlineLvl w:val="0"/>
        <w:rPr>
          <w:rFonts w:ascii="Times New Roman" w:eastAsia="Times New Roman" w:hAnsi="Times New Roman" w:cs="Times New Roman"/>
          <w:bCs/>
          <w:kern w:val="36"/>
          <w:lang w:eastAsia="fr-FR"/>
        </w:rPr>
      </w:pPr>
      <w:r w:rsidRPr="005B2E32">
        <w:rPr>
          <w:rFonts w:ascii="Times New Roman" w:eastAsia="Times New Roman" w:hAnsi="Times New Roman" w:cs="Times New Roman"/>
          <w:bCs/>
          <w:kern w:val="36"/>
          <w:lang w:eastAsia="fr-FR"/>
        </w:rPr>
        <w:t xml:space="preserve">Hahn, R., </w:t>
      </w:r>
      <w:proofErr w:type="spellStart"/>
      <w:r w:rsidRPr="005B2E32">
        <w:rPr>
          <w:rFonts w:ascii="Times New Roman" w:eastAsia="Times New Roman" w:hAnsi="Times New Roman" w:cs="Times New Roman"/>
          <w:bCs/>
          <w:kern w:val="36"/>
          <w:lang w:eastAsia="fr-FR"/>
        </w:rPr>
        <w:t>Reimsbach</w:t>
      </w:r>
      <w:proofErr w:type="spellEnd"/>
      <w:r w:rsidRPr="005B2E32">
        <w:rPr>
          <w:rFonts w:ascii="Times New Roman" w:eastAsia="Times New Roman" w:hAnsi="Times New Roman" w:cs="Times New Roman"/>
          <w:bCs/>
          <w:kern w:val="36"/>
          <w:lang w:eastAsia="fr-FR"/>
        </w:rPr>
        <w:t xml:space="preserve">, D., </w:t>
      </w:r>
      <w:proofErr w:type="spellStart"/>
      <w:r w:rsidRPr="005B2E32">
        <w:rPr>
          <w:rFonts w:ascii="Times New Roman" w:eastAsia="Times New Roman" w:hAnsi="Times New Roman" w:cs="Times New Roman"/>
          <w:bCs/>
          <w:kern w:val="36"/>
          <w:lang w:eastAsia="fr-FR"/>
        </w:rPr>
        <w:t>Schiemann</w:t>
      </w:r>
      <w:proofErr w:type="spellEnd"/>
      <w:r w:rsidRPr="005B2E32">
        <w:rPr>
          <w:rFonts w:ascii="Times New Roman" w:eastAsia="Times New Roman" w:hAnsi="Times New Roman" w:cs="Times New Roman"/>
          <w:bCs/>
          <w:kern w:val="36"/>
          <w:lang w:eastAsia="fr-FR"/>
        </w:rPr>
        <w:t xml:space="preserve">, F. (2015). </w:t>
      </w:r>
      <w:proofErr w:type="spellStart"/>
      <w:r w:rsidR="00EB3251" w:rsidRPr="005B2E32">
        <w:rPr>
          <w:rFonts w:ascii="Times New Roman" w:eastAsia="Times New Roman" w:hAnsi="Times New Roman" w:cs="Times New Roman"/>
          <w:bCs/>
          <w:kern w:val="36"/>
          <w:lang w:eastAsia="fr-FR"/>
        </w:rPr>
        <w:t>Organizations</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climate</w:t>
      </w:r>
      <w:proofErr w:type="spellEnd"/>
      <w:r w:rsidR="00EB3251" w:rsidRPr="005B2E32">
        <w:rPr>
          <w:rFonts w:ascii="Times New Roman" w:eastAsia="Times New Roman" w:hAnsi="Times New Roman" w:cs="Times New Roman"/>
          <w:bCs/>
          <w:kern w:val="36"/>
          <w:lang w:eastAsia="fr-FR"/>
        </w:rPr>
        <w:t xml:space="preserve"> change, and </w:t>
      </w:r>
      <w:proofErr w:type="spellStart"/>
      <w:proofErr w:type="gramStart"/>
      <w:r w:rsidR="00EB3251" w:rsidRPr="005B2E32">
        <w:rPr>
          <w:rFonts w:ascii="Times New Roman" w:eastAsia="Times New Roman" w:hAnsi="Times New Roman" w:cs="Times New Roman"/>
          <w:bCs/>
          <w:kern w:val="36"/>
          <w:lang w:eastAsia="fr-FR"/>
        </w:rPr>
        <w:t>transparency</w:t>
      </w:r>
      <w:proofErr w:type="spellEnd"/>
      <w:r w:rsidR="00EB3251" w:rsidRPr="005B2E32">
        <w:rPr>
          <w:rFonts w:ascii="Times New Roman" w:eastAsia="Times New Roman" w:hAnsi="Times New Roman" w:cs="Times New Roman"/>
          <w:bCs/>
          <w:kern w:val="36"/>
          <w:lang w:eastAsia="fr-FR"/>
        </w:rPr>
        <w:t>:</w:t>
      </w:r>
      <w:proofErr w:type="gram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Reviewing</w:t>
      </w:r>
      <w:proofErr w:type="spellEnd"/>
      <w:r w:rsidR="00EB3251" w:rsidRPr="005B2E32">
        <w:rPr>
          <w:rFonts w:ascii="Times New Roman" w:eastAsia="Times New Roman" w:hAnsi="Times New Roman" w:cs="Times New Roman"/>
          <w:bCs/>
          <w:kern w:val="36"/>
          <w:lang w:eastAsia="fr-FR"/>
        </w:rPr>
        <w:t xml:space="preserve"> the </w:t>
      </w:r>
      <w:proofErr w:type="spellStart"/>
      <w:r w:rsidR="00EB3251" w:rsidRPr="005B2E32">
        <w:rPr>
          <w:rFonts w:ascii="Times New Roman" w:eastAsia="Times New Roman" w:hAnsi="Times New Roman" w:cs="Times New Roman"/>
          <w:bCs/>
          <w:kern w:val="36"/>
          <w:lang w:eastAsia="fr-FR"/>
        </w:rPr>
        <w:t>li</w:t>
      </w:r>
      <w:r w:rsidRPr="005B2E32">
        <w:rPr>
          <w:rFonts w:ascii="Times New Roman" w:eastAsia="Times New Roman" w:hAnsi="Times New Roman" w:cs="Times New Roman"/>
          <w:bCs/>
          <w:kern w:val="36"/>
          <w:lang w:eastAsia="fr-FR"/>
        </w:rPr>
        <w:t>terature</w:t>
      </w:r>
      <w:proofErr w:type="spellEnd"/>
      <w:r w:rsidRPr="005B2E32">
        <w:rPr>
          <w:rFonts w:ascii="Times New Roman" w:eastAsia="Times New Roman" w:hAnsi="Times New Roman" w:cs="Times New Roman"/>
          <w:bCs/>
          <w:kern w:val="36"/>
          <w:lang w:eastAsia="fr-FR"/>
        </w:rPr>
        <w:t xml:space="preserve"> on </w:t>
      </w:r>
      <w:proofErr w:type="spellStart"/>
      <w:r w:rsidRPr="005B2E32">
        <w:rPr>
          <w:rFonts w:ascii="Times New Roman" w:eastAsia="Times New Roman" w:hAnsi="Times New Roman" w:cs="Times New Roman"/>
          <w:bCs/>
          <w:kern w:val="36"/>
          <w:lang w:eastAsia="fr-FR"/>
        </w:rPr>
        <w:t>carbon</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disclosure</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Organization</w:t>
      </w:r>
      <w:proofErr w:type="spellEnd"/>
      <w:r w:rsidR="00EB3251" w:rsidRPr="005B2E32">
        <w:rPr>
          <w:rFonts w:ascii="Times New Roman" w:eastAsia="Times New Roman" w:hAnsi="Times New Roman" w:cs="Times New Roman"/>
          <w:bCs/>
          <w:i/>
          <w:kern w:val="36"/>
          <w:lang w:eastAsia="fr-FR"/>
        </w:rPr>
        <w:t xml:space="preserve"> &amp; </w:t>
      </w:r>
      <w:proofErr w:type="spellStart"/>
      <w:r w:rsidR="00EB3251" w:rsidRPr="005B2E32">
        <w:rPr>
          <w:rFonts w:ascii="Times New Roman" w:eastAsia="Times New Roman" w:hAnsi="Times New Roman" w:cs="Times New Roman"/>
          <w:bCs/>
          <w:i/>
          <w:kern w:val="36"/>
          <w:lang w:eastAsia="fr-FR"/>
        </w:rPr>
        <w:t>Environment</w:t>
      </w:r>
      <w:proofErr w:type="spell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28</w:t>
      </w:r>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1</w:t>
      </w:r>
      <w:proofErr w:type="gramStart"/>
      <w:r w:rsidRPr="005B2E32">
        <w:rPr>
          <w:rFonts w:ascii="Times New Roman" w:eastAsia="Times New Roman" w:hAnsi="Times New Roman" w:cs="Times New Roman"/>
          <w:bCs/>
          <w:kern w:val="36"/>
          <w:lang w:eastAsia="fr-FR"/>
        </w:rPr>
        <w:t>):</w:t>
      </w:r>
      <w:proofErr w:type="gramEnd"/>
      <w:r w:rsidR="00EB3251" w:rsidRPr="005B2E32">
        <w:rPr>
          <w:rFonts w:ascii="Times New Roman" w:eastAsia="Times New Roman" w:hAnsi="Times New Roman" w:cs="Times New Roman"/>
          <w:bCs/>
          <w:kern w:val="36"/>
          <w:lang w:eastAsia="fr-FR"/>
        </w:rPr>
        <w:t xml:space="preserve"> 80-102.</w:t>
      </w:r>
    </w:p>
    <w:p w:rsidR="00EB3251" w:rsidRPr="005B2E32" w:rsidRDefault="00A87F33" w:rsidP="005B2E32">
      <w:pPr>
        <w:spacing w:after="0" w:line="480" w:lineRule="auto"/>
        <w:jc w:val="both"/>
        <w:outlineLvl w:val="0"/>
        <w:rPr>
          <w:rFonts w:ascii="Times New Roman" w:eastAsia="Times New Roman" w:hAnsi="Times New Roman" w:cs="Times New Roman"/>
          <w:bCs/>
          <w:kern w:val="36"/>
          <w:lang w:eastAsia="fr-FR"/>
        </w:rPr>
      </w:pPr>
      <w:proofErr w:type="spellStart"/>
      <w:r w:rsidRPr="005B2E32">
        <w:rPr>
          <w:rFonts w:ascii="Times New Roman" w:eastAsia="Times New Roman" w:hAnsi="Times New Roman" w:cs="Times New Roman"/>
          <w:bCs/>
          <w:kern w:val="36"/>
          <w:lang w:eastAsia="fr-FR"/>
        </w:rPr>
        <w:t>Hossain</w:t>
      </w:r>
      <w:proofErr w:type="spellEnd"/>
      <w:r w:rsidRPr="005B2E32">
        <w:rPr>
          <w:rFonts w:ascii="Times New Roman" w:eastAsia="Times New Roman" w:hAnsi="Times New Roman" w:cs="Times New Roman"/>
          <w:bCs/>
          <w:kern w:val="36"/>
          <w:lang w:eastAsia="fr-FR"/>
        </w:rPr>
        <w:t xml:space="preserve">, M., </w:t>
      </w:r>
      <w:proofErr w:type="spellStart"/>
      <w:r w:rsidRPr="005B2E32">
        <w:rPr>
          <w:rFonts w:ascii="Times New Roman" w:eastAsia="Times New Roman" w:hAnsi="Times New Roman" w:cs="Times New Roman"/>
          <w:bCs/>
          <w:kern w:val="36"/>
          <w:lang w:eastAsia="fr-FR"/>
        </w:rPr>
        <w:t>Reaz</w:t>
      </w:r>
      <w:proofErr w:type="spellEnd"/>
      <w:r w:rsidRPr="005B2E32">
        <w:rPr>
          <w:rFonts w:ascii="Times New Roman" w:eastAsia="Times New Roman" w:hAnsi="Times New Roman" w:cs="Times New Roman"/>
          <w:bCs/>
          <w:kern w:val="36"/>
          <w:lang w:eastAsia="fr-FR"/>
        </w:rPr>
        <w:t xml:space="preserve">, M. (2007). </w:t>
      </w:r>
      <w:r w:rsidR="00EB3251" w:rsidRPr="005B2E32">
        <w:rPr>
          <w:rFonts w:ascii="Times New Roman" w:eastAsia="Times New Roman" w:hAnsi="Times New Roman" w:cs="Times New Roman"/>
          <w:bCs/>
          <w:kern w:val="36"/>
          <w:lang w:eastAsia="fr-FR"/>
        </w:rPr>
        <w:t xml:space="preserve">The </w:t>
      </w:r>
      <w:proofErr w:type="spellStart"/>
      <w:r w:rsidR="00EB3251" w:rsidRPr="005B2E32">
        <w:rPr>
          <w:rFonts w:ascii="Times New Roman" w:eastAsia="Times New Roman" w:hAnsi="Times New Roman" w:cs="Times New Roman"/>
          <w:bCs/>
          <w:kern w:val="36"/>
          <w:lang w:eastAsia="fr-FR"/>
        </w:rPr>
        <w:t>determinants</w:t>
      </w:r>
      <w:proofErr w:type="spellEnd"/>
      <w:r w:rsidR="00EB3251" w:rsidRPr="005B2E32">
        <w:rPr>
          <w:rFonts w:ascii="Times New Roman" w:eastAsia="Times New Roman" w:hAnsi="Times New Roman" w:cs="Times New Roman"/>
          <w:bCs/>
          <w:kern w:val="36"/>
          <w:lang w:eastAsia="fr-FR"/>
        </w:rPr>
        <w:t xml:space="preserve"> of </w:t>
      </w:r>
      <w:proofErr w:type="spellStart"/>
      <w:r w:rsidR="00EB3251" w:rsidRPr="005B2E32">
        <w:rPr>
          <w:rFonts w:ascii="Times New Roman" w:eastAsia="Times New Roman" w:hAnsi="Times New Roman" w:cs="Times New Roman"/>
          <w:bCs/>
          <w:kern w:val="36"/>
          <w:lang w:eastAsia="fr-FR"/>
        </w:rPr>
        <w:t>voluntary</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disclosur</w:t>
      </w:r>
      <w:r w:rsidRPr="005B2E32">
        <w:rPr>
          <w:rFonts w:ascii="Times New Roman" w:eastAsia="Times New Roman" w:hAnsi="Times New Roman" w:cs="Times New Roman"/>
          <w:bCs/>
          <w:kern w:val="36"/>
          <w:lang w:eastAsia="fr-FR"/>
        </w:rPr>
        <w:t>e</w:t>
      </w:r>
      <w:proofErr w:type="spellEnd"/>
      <w:r w:rsidRPr="005B2E32">
        <w:rPr>
          <w:rFonts w:ascii="Times New Roman" w:eastAsia="Times New Roman" w:hAnsi="Times New Roman" w:cs="Times New Roman"/>
          <w:bCs/>
          <w:kern w:val="36"/>
          <w:lang w:eastAsia="fr-FR"/>
        </w:rPr>
        <w:t xml:space="preserve"> by </w:t>
      </w:r>
      <w:proofErr w:type="spellStart"/>
      <w:r w:rsidRPr="005B2E32">
        <w:rPr>
          <w:rFonts w:ascii="Times New Roman" w:eastAsia="Times New Roman" w:hAnsi="Times New Roman" w:cs="Times New Roman"/>
          <w:bCs/>
          <w:kern w:val="36"/>
          <w:lang w:eastAsia="fr-FR"/>
        </w:rPr>
        <w:t>Indian</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banking</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companies</w:t>
      </w:r>
      <w:proofErr w:type="spellEnd"/>
      <w:r w:rsidRPr="005B2E32">
        <w:rPr>
          <w:rFonts w:ascii="Times New Roman" w:eastAsia="Times New Roman" w:hAnsi="Times New Roman" w:cs="Times New Roman"/>
          <w:bCs/>
          <w:kern w:val="36"/>
          <w:lang w:eastAsia="fr-FR"/>
        </w:rPr>
        <w:t>.</w:t>
      </w:r>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Corporate</w:t>
      </w:r>
      <w:proofErr w:type="spellEnd"/>
      <w:r w:rsidR="00EB3251" w:rsidRPr="005B2E32">
        <w:rPr>
          <w:rFonts w:ascii="Times New Roman" w:eastAsia="Times New Roman" w:hAnsi="Times New Roman" w:cs="Times New Roman"/>
          <w:bCs/>
          <w:i/>
          <w:kern w:val="36"/>
          <w:lang w:eastAsia="fr-FR"/>
        </w:rPr>
        <w:t xml:space="preserve"> Social </w:t>
      </w:r>
      <w:proofErr w:type="spellStart"/>
      <w:r w:rsidR="00EB3251" w:rsidRPr="005B2E32">
        <w:rPr>
          <w:rFonts w:ascii="Times New Roman" w:eastAsia="Times New Roman" w:hAnsi="Times New Roman" w:cs="Times New Roman"/>
          <w:bCs/>
          <w:i/>
          <w:kern w:val="36"/>
          <w:lang w:eastAsia="fr-FR"/>
        </w:rPr>
        <w:t>Responsibility</w:t>
      </w:r>
      <w:proofErr w:type="spellEnd"/>
      <w:r w:rsidR="00EB3251" w:rsidRPr="005B2E32">
        <w:rPr>
          <w:rFonts w:ascii="Times New Roman" w:eastAsia="Times New Roman" w:hAnsi="Times New Roman" w:cs="Times New Roman"/>
          <w:bCs/>
          <w:i/>
          <w:kern w:val="36"/>
          <w:lang w:eastAsia="fr-FR"/>
        </w:rPr>
        <w:t xml:space="preserve"> and </w:t>
      </w:r>
      <w:proofErr w:type="spellStart"/>
      <w:r w:rsidR="00EB3251" w:rsidRPr="005B2E32">
        <w:rPr>
          <w:rFonts w:ascii="Times New Roman" w:eastAsia="Times New Roman" w:hAnsi="Times New Roman" w:cs="Times New Roman"/>
          <w:bCs/>
          <w:i/>
          <w:kern w:val="36"/>
          <w:lang w:eastAsia="fr-FR"/>
        </w:rPr>
        <w:t>Environmental</w:t>
      </w:r>
      <w:proofErr w:type="spellEnd"/>
      <w:r w:rsidR="00EB3251" w:rsidRPr="005B2E32">
        <w:rPr>
          <w:rFonts w:ascii="Times New Roman" w:eastAsia="Times New Roman" w:hAnsi="Times New Roman" w:cs="Times New Roman"/>
          <w:bCs/>
          <w:i/>
          <w:kern w:val="36"/>
          <w:lang w:eastAsia="fr-FR"/>
        </w:rPr>
        <w:t xml:space="preserve"> Management</w:t>
      </w:r>
      <w:r w:rsidRPr="005B2E32">
        <w:rPr>
          <w:rFonts w:ascii="Times New Roman" w:eastAsia="Times New Roman" w:hAnsi="Times New Roman" w:cs="Times New Roman"/>
          <w:bCs/>
          <w:kern w:val="36"/>
          <w:lang w:eastAsia="fr-FR"/>
        </w:rPr>
        <w:t xml:space="preserve"> 14 (</w:t>
      </w:r>
      <w:r w:rsidR="00EB3251" w:rsidRPr="005B2E32">
        <w:rPr>
          <w:rFonts w:ascii="Times New Roman" w:eastAsia="Times New Roman" w:hAnsi="Times New Roman" w:cs="Times New Roman"/>
          <w:bCs/>
          <w:kern w:val="36"/>
          <w:lang w:eastAsia="fr-FR"/>
        </w:rPr>
        <w:t>5</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274-288.</w:t>
      </w:r>
    </w:p>
    <w:p w:rsidR="00EB3251" w:rsidRPr="005B2E32" w:rsidRDefault="00A87F33"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Hummel, K., Schlick, C. (2016). </w:t>
      </w:r>
      <w:r w:rsidR="00EB3251" w:rsidRPr="005B2E32">
        <w:rPr>
          <w:rFonts w:ascii="Times New Roman" w:hAnsi="Times New Roman" w:cs="Times New Roman"/>
        </w:rPr>
        <w:t xml:space="preserve">The </w:t>
      </w:r>
      <w:proofErr w:type="spellStart"/>
      <w:r w:rsidR="00EB3251" w:rsidRPr="005B2E32">
        <w:rPr>
          <w:rFonts w:ascii="Times New Roman" w:hAnsi="Times New Roman" w:cs="Times New Roman"/>
        </w:rPr>
        <w:t>relationship</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between</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sustainability</w:t>
      </w:r>
      <w:proofErr w:type="spellEnd"/>
      <w:r w:rsidR="00EB3251" w:rsidRPr="005B2E32">
        <w:rPr>
          <w:rFonts w:ascii="Times New Roman" w:hAnsi="Times New Roman" w:cs="Times New Roman"/>
        </w:rPr>
        <w:t xml:space="preserve"> performanc</w:t>
      </w:r>
      <w:r w:rsidRPr="005B2E32">
        <w:rPr>
          <w:rFonts w:ascii="Times New Roman" w:hAnsi="Times New Roman" w:cs="Times New Roman"/>
        </w:rPr>
        <w:t xml:space="preserve">e and </w:t>
      </w:r>
      <w:proofErr w:type="spellStart"/>
      <w:r w:rsidRPr="005B2E32">
        <w:rPr>
          <w:rFonts w:ascii="Times New Roman" w:hAnsi="Times New Roman" w:cs="Times New Roman"/>
        </w:rPr>
        <w:t>sustainability</w:t>
      </w:r>
      <w:proofErr w:type="spellEnd"/>
      <w:r w:rsidRPr="005B2E32">
        <w:rPr>
          <w:rFonts w:ascii="Times New Roman" w:hAnsi="Times New Roman" w:cs="Times New Roman"/>
        </w:rPr>
        <w:t xml:space="preserve"> </w:t>
      </w:r>
      <w:proofErr w:type="spellStart"/>
      <w:proofErr w:type="gramStart"/>
      <w:r w:rsidRPr="005B2E32">
        <w:rPr>
          <w:rFonts w:ascii="Times New Roman" w:hAnsi="Times New Roman" w:cs="Times New Roman"/>
        </w:rPr>
        <w:t>disclosure</w:t>
      </w:r>
      <w:proofErr w:type="spellEnd"/>
      <w:r w:rsidRPr="005B2E32">
        <w:rPr>
          <w:rFonts w:ascii="Times New Roman" w:hAnsi="Times New Roman" w:cs="Times New Roman"/>
        </w:rPr>
        <w:t>:</w:t>
      </w:r>
      <w:proofErr w:type="gramEnd"/>
      <w:r w:rsidRPr="005B2E32">
        <w:rPr>
          <w:rFonts w:ascii="Times New Roman" w:hAnsi="Times New Roman" w:cs="Times New Roman"/>
        </w:rPr>
        <w:t xml:space="preserve"> </w:t>
      </w:r>
      <w:proofErr w:type="spellStart"/>
      <w:r w:rsidR="00EB3251" w:rsidRPr="005B2E32">
        <w:rPr>
          <w:rFonts w:ascii="Times New Roman" w:hAnsi="Times New Roman" w:cs="Times New Roman"/>
        </w:rPr>
        <w:t>Reconciling</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voluntary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theory</w:t>
      </w:r>
      <w:proofErr w:type="spellEnd"/>
      <w:r w:rsidRPr="005B2E32">
        <w:rPr>
          <w:rFonts w:ascii="Times New Roman" w:hAnsi="Times New Roman" w:cs="Times New Roman"/>
        </w:rPr>
        <w:t xml:space="preserve"> and </w:t>
      </w:r>
      <w:proofErr w:type="spellStart"/>
      <w:r w:rsidRPr="005B2E32">
        <w:rPr>
          <w:rFonts w:ascii="Times New Roman" w:hAnsi="Times New Roman" w:cs="Times New Roman"/>
        </w:rPr>
        <w:t>legitimacy</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theory</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Journal of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and Public Policy</w:t>
      </w:r>
      <w:r w:rsidRPr="005B2E32">
        <w:rPr>
          <w:rFonts w:ascii="Times New Roman" w:hAnsi="Times New Roman" w:cs="Times New Roman"/>
        </w:rPr>
        <w:t xml:space="preserve"> 35 (</w:t>
      </w:r>
      <w:r w:rsidR="00EB3251" w:rsidRPr="005B2E32">
        <w:rPr>
          <w:rFonts w:ascii="Times New Roman" w:hAnsi="Times New Roman" w:cs="Times New Roman"/>
        </w:rPr>
        <w:t>5</w:t>
      </w:r>
      <w:proofErr w:type="gramStart"/>
      <w:r w:rsidRPr="005B2E32">
        <w:rPr>
          <w:rFonts w:ascii="Times New Roman" w:hAnsi="Times New Roman" w:cs="Times New Roman"/>
        </w:rPr>
        <w:t>):</w:t>
      </w:r>
      <w:proofErr w:type="gramEnd"/>
      <w:r w:rsidRPr="005B2E32">
        <w:rPr>
          <w:rFonts w:ascii="Times New Roman" w:hAnsi="Times New Roman" w:cs="Times New Roman"/>
        </w:rPr>
        <w:t xml:space="preserve"> </w:t>
      </w:r>
      <w:r w:rsidR="00EB3251" w:rsidRPr="005B2E32">
        <w:rPr>
          <w:rFonts w:ascii="Times New Roman" w:hAnsi="Times New Roman" w:cs="Times New Roman"/>
        </w:rPr>
        <w:t>455-476.</w:t>
      </w:r>
    </w:p>
    <w:p w:rsidR="00EB3251" w:rsidRPr="005B2E32" w:rsidRDefault="00A87F33" w:rsidP="005B2E32">
      <w:pPr>
        <w:spacing w:after="0" w:line="480" w:lineRule="auto"/>
        <w:jc w:val="both"/>
        <w:rPr>
          <w:rFonts w:ascii="Times New Roman" w:eastAsia="Times New Roman" w:hAnsi="Times New Roman" w:cs="Times New Roman"/>
          <w:i/>
          <w:color w:val="FF0000"/>
          <w:lang w:eastAsia="fr-FR"/>
        </w:rPr>
      </w:pPr>
      <w:proofErr w:type="spellStart"/>
      <w:r w:rsidRPr="005B2E32">
        <w:rPr>
          <w:rFonts w:ascii="Times New Roman" w:hAnsi="Times New Roman" w:cs="Times New Roman"/>
        </w:rPr>
        <w:t>Kalesnik</w:t>
      </w:r>
      <w:proofErr w:type="spellEnd"/>
      <w:r w:rsidRPr="005B2E32">
        <w:rPr>
          <w:rFonts w:ascii="Times New Roman" w:hAnsi="Times New Roman" w:cs="Times New Roman"/>
        </w:rPr>
        <w:t xml:space="preserve">, V., </w:t>
      </w:r>
      <w:proofErr w:type="spellStart"/>
      <w:r w:rsidRPr="005B2E32">
        <w:rPr>
          <w:rFonts w:ascii="Times New Roman" w:hAnsi="Times New Roman" w:cs="Times New Roman"/>
        </w:rPr>
        <w:t>Wilkens</w:t>
      </w:r>
      <w:proofErr w:type="spellEnd"/>
      <w:r w:rsidRPr="005B2E32">
        <w:rPr>
          <w:rFonts w:ascii="Times New Roman" w:hAnsi="Times New Roman" w:cs="Times New Roman"/>
        </w:rPr>
        <w:t xml:space="preserve"> M., </w:t>
      </w:r>
      <w:proofErr w:type="spellStart"/>
      <w:r w:rsidRPr="005B2E32">
        <w:rPr>
          <w:rFonts w:ascii="Times New Roman" w:hAnsi="Times New Roman" w:cs="Times New Roman"/>
        </w:rPr>
        <w:t>Zink</w:t>
      </w:r>
      <w:proofErr w:type="spellEnd"/>
      <w:r w:rsidRPr="005B2E32">
        <w:rPr>
          <w:rFonts w:ascii="Times New Roman" w:hAnsi="Times New Roman" w:cs="Times New Roman"/>
        </w:rPr>
        <w:t xml:space="preserve">, J. (2020). </w:t>
      </w:r>
      <w:r w:rsidR="00EB3251" w:rsidRPr="005B2E32">
        <w:rPr>
          <w:rFonts w:ascii="Times New Roman" w:hAnsi="Times New Roman" w:cs="Times New Roman"/>
        </w:rPr>
        <w:t xml:space="preserve">Green data or </w:t>
      </w:r>
      <w:proofErr w:type="spellStart"/>
      <w:r w:rsidR="00EB3251" w:rsidRPr="005B2E32">
        <w:rPr>
          <w:rFonts w:ascii="Times New Roman" w:hAnsi="Times New Roman" w:cs="Times New Roman"/>
        </w:rPr>
        <w:t>greenwashing</w:t>
      </w:r>
      <w:proofErr w:type="spellEnd"/>
      <w:r w:rsidR="00EB3251" w:rsidRPr="005B2E32">
        <w:rPr>
          <w:rFonts w:ascii="Times New Roman" w:hAnsi="Times New Roman" w:cs="Times New Roman"/>
        </w:rPr>
        <w:t xml:space="preserve"> ? Do </w:t>
      </w:r>
      <w:proofErr w:type="spellStart"/>
      <w:r w:rsidR="00EB3251" w:rsidRPr="005B2E32">
        <w:rPr>
          <w:rFonts w:ascii="Times New Roman" w:hAnsi="Times New Roman" w:cs="Times New Roman"/>
        </w:rPr>
        <w:t>corporate</w:t>
      </w:r>
      <w:proofErr w:type="spellEnd"/>
      <w:r w:rsidR="00EB3251" w:rsidRPr="005B2E32">
        <w:rPr>
          <w:rFonts w:ascii="Times New Roman" w:hAnsi="Times New Roman" w:cs="Times New Roman"/>
        </w:rPr>
        <w:t xml:space="preserve"> carbone missions data </w:t>
      </w:r>
      <w:proofErr w:type="spellStart"/>
      <w:r w:rsidR="00EB3251" w:rsidRPr="005B2E32">
        <w:rPr>
          <w:rFonts w:ascii="Times New Roman" w:hAnsi="Times New Roman" w:cs="Times New Roman"/>
        </w:rPr>
        <w:t>enable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investors</w:t>
      </w:r>
      <w:proofErr w:type="spellEnd"/>
      <w:r w:rsidRPr="005B2E32">
        <w:rPr>
          <w:rFonts w:ascii="Times New Roman" w:hAnsi="Times New Roman" w:cs="Times New Roman"/>
        </w:rPr>
        <w:t xml:space="preserve"> to </w:t>
      </w:r>
      <w:proofErr w:type="spellStart"/>
      <w:r w:rsidRPr="005B2E32">
        <w:rPr>
          <w:rFonts w:ascii="Times New Roman" w:hAnsi="Times New Roman" w:cs="Times New Roman"/>
        </w:rPr>
        <w:t>mitigate</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climate</w:t>
      </w:r>
      <w:proofErr w:type="spellEnd"/>
      <w:r w:rsidRPr="005B2E32">
        <w:rPr>
          <w:rFonts w:ascii="Times New Roman" w:hAnsi="Times New Roman" w:cs="Times New Roman"/>
        </w:rPr>
        <w:t xml:space="preserve"> change ?</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SSRN </w:t>
      </w:r>
      <w:proofErr w:type="spellStart"/>
      <w:r w:rsidR="00EB3251" w:rsidRPr="005B2E32">
        <w:rPr>
          <w:rFonts w:ascii="Times New Roman" w:hAnsi="Times New Roman" w:cs="Times New Roman"/>
          <w:i/>
        </w:rPr>
        <w:t>Electronic</w:t>
      </w:r>
      <w:proofErr w:type="spellEnd"/>
      <w:r w:rsidR="00EB3251" w:rsidRPr="005B2E32">
        <w:rPr>
          <w:rFonts w:ascii="Times New Roman" w:hAnsi="Times New Roman" w:cs="Times New Roman"/>
          <w:i/>
        </w:rPr>
        <w:t xml:space="preserve"> Journal</w:t>
      </w:r>
      <w:r w:rsidR="00EB3251" w:rsidRPr="005B2E32">
        <w:rPr>
          <w:rFonts w:ascii="Times New Roman" w:hAnsi="Times New Roman" w:cs="Times New Roman"/>
        </w:rPr>
        <w:t xml:space="preserve">, </w:t>
      </w:r>
      <w:proofErr w:type="spellStart"/>
      <w:r w:rsidR="00EB3251" w:rsidRPr="005B2E32">
        <w:rPr>
          <w:rFonts w:ascii="Times New Roman" w:eastAsia="Times New Roman" w:hAnsi="Times New Roman" w:cs="Times New Roman"/>
          <w:lang w:eastAsia="fr-FR"/>
        </w:rPr>
        <w:t>Available</w:t>
      </w:r>
      <w:proofErr w:type="spellEnd"/>
      <w:r w:rsidR="00EB3251" w:rsidRPr="005B2E32">
        <w:rPr>
          <w:rFonts w:ascii="Times New Roman" w:eastAsia="Times New Roman" w:hAnsi="Times New Roman" w:cs="Times New Roman"/>
          <w:lang w:eastAsia="fr-FR"/>
        </w:rPr>
        <w:t xml:space="preserve"> at SSRN: </w:t>
      </w:r>
      <w:hyperlink r:id="rId22" w:history="1">
        <w:r w:rsidR="00EB3251" w:rsidRPr="005B2E32">
          <w:rPr>
            <w:rStyle w:val="Lienhypertexte"/>
            <w:rFonts w:ascii="Times New Roman" w:eastAsia="Times New Roman" w:hAnsi="Times New Roman" w:cs="Times New Roman"/>
            <w:lang w:eastAsia="fr-FR"/>
          </w:rPr>
          <w:t>http://dx.doi.org/10.2139/ssrn.3722973.</w:t>
        </w:r>
        <w:r w:rsidR="00EB3251" w:rsidRPr="005B2E32">
          <w:rPr>
            <w:rStyle w:val="Lienhypertexte"/>
            <w:rFonts w:ascii="Times New Roman" w:eastAsia="Times New Roman" w:hAnsi="Times New Roman" w:cs="Times New Roman"/>
            <w:i/>
            <w:lang w:eastAsia="fr-FR"/>
          </w:rPr>
          <w:t xml:space="preserve"> </w:t>
        </w:r>
      </w:hyperlink>
    </w:p>
    <w:p w:rsidR="00EB3251" w:rsidRDefault="00A87F33"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Kiliç</w:t>
      </w:r>
      <w:proofErr w:type="spellEnd"/>
      <w:r w:rsidRPr="005B2E32">
        <w:rPr>
          <w:rFonts w:ascii="Times New Roman" w:hAnsi="Times New Roman" w:cs="Times New Roman"/>
        </w:rPr>
        <w:t xml:space="preserve">, M., </w:t>
      </w:r>
      <w:proofErr w:type="spellStart"/>
      <w:r w:rsidRPr="005B2E32">
        <w:rPr>
          <w:rFonts w:ascii="Times New Roman" w:hAnsi="Times New Roman" w:cs="Times New Roman"/>
        </w:rPr>
        <w:t>Kuzey</w:t>
      </w:r>
      <w:proofErr w:type="spellEnd"/>
      <w:r w:rsidRPr="005B2E32">
        <w:rPr>
          <w:rFonts w:ascii="Times New Roman" w:hAnsi="Times New Roman" w:cs="Times New Roman"/>
        </w:rPr>
        <w:t xml:space="preserve">, C. (2019). </w:t>
      </w:r>
      <w:proofErr w:type="spellStart"/>
      <w:r w:rsidR="00EB3251" w:rsidRPr="005B2E32">
        <w:rPr>
          <w:rFonts w:ascii="Times New Roman" w:hAnsi="Times New Roman" w:cs="Times New Roman"/>
        </w:rPr>
        <w:t>Determinants</w:t>
      </w:r>
      <w:proofErr w:type="spellEnd"/>
      <w:r w:rsidR="00EB3251" w:rsidRPr="005B2E32">
        <w:rPr>
          <w:rFonts w:ascii="Times New Roman" w:hAnsi="Times New Roman" w:cs="Times New Roman"/>
        </w:rPr>
        <w:t xml:space="preserve"> of </w:t>
      </w:r>
      <w:proofErr w:type="spellStart"/>
      <w:r w:rsidR="00EB3251" w:rsidRPr="005B2E32">
        <w:rPr>
          <w:rFonts w:ascii="Times New Roman" w:hAnsi="Times New Roman" w:cs="Times New Roman"/>
        </w:rPr>
        <w:t>climate</w:t>
      </w:r>
      <w:proofErr w:type="spellEnd"/>
      <w:r w:rsidR="00EB3251" w:rsidRPr="005B2E32">
        <w:rPr>
          <w:rFonts w:ascii="Times New Roman" w:hAnsi="Times New Roman" w:cs="Times New Roman"/>
        </w:rPr>
        <w:t xml:space="preserve"> change </w:t>
      </w:r>
      <w:proofErr w:type="spell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 xml:space="preserve"> in</w:t>
      </w:r>
      <w:r w:rsidRPr="005B2E32">
        <w:rPr>
          <w:rFonts w:ascii="Times New Roman" w:hAnsi="Times New Roman" w:cs="Times New Roman"/>
        </w:rPr>
        <w:t xml:space="preserve"> the </w:t>
      </w:r>
      <w:proofErr w:type="spellStart"/>
      <w:r w:rsidRPr="005B2E32">
        <w:rPr>
          <w:rFonts w:ascii="Times New Roman" w:hAnsi="Times New Roman" w:cs="Times New Roman"/>
        </w:rPr>
        <w:t>Turkish</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banking</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industry</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r w:rsidR="00EB3251" w:rsidRPr="005B2E32">
        <w:rPr>
          <w:rFonts w:ascii="Times New Roman" w:hAnsi="Times New Roman" w:cs="Times New Roman"/>
          <w:i/>
        </w:rPr>
        <w:t>International Journal of Bank Marketing</w:t>
      </w:r>
      <w:r w:rsidRPr="005B2E32">
        <w:rPr>
          <w:rFonts w:ascii="Times New Roman" w:hAnsi="Times New Roman" w:cs="Times New Roman"/>
        </w:rPr>
        <w:t xml:space="preserve"> 37 (</w:t>
      </w:r>
      <w:r w:rsidR="00EB3251" w:rsidRPr="005B2E32">
        <w:rPr>
          <w:rFonts w:ascii="Times New Roman" w:hAnsi="Times New Roman" w:cs="Times New Roman"/>
        </w:rPr>
        <w:t>3</w:t>
      </w:r>
      <w:proofErr w:type="gramStart"/>
      <w:r w:rsidRPr="005B2E32">
        <w:rPr>
          <w:rFonts w:ascii="Times New Roman" w:hAnsi="Times New Roman" w:cs="Times New Roman"/>
        </w:rPr>
        <w:t>):</w:t>
      </w:r>
      <w:proofErr w:type="gramEnd"/>
      <w:r w:rsidR="00EB3251" w:rsidRPr="005B2E32">
        <w:rPr>
          <w:rFonts w:ascii="Times New Roman" w:hAnsi="Times New Roman" w:cs="Times New Roman"/>
        </w:rPr>
        <w:t xml:space="preserve"> 901-926.</w:t>
      </w:r>
    </w:p>
    <w:p w:rsidR="0060210E" w:rsidRPr="005A1713" w:rsidRDefault="0060210E" w:rsidP="005B2E32">
      <w:pPr>
        <w:spacing w:after="0" w:line="480" w:lineRule="auto"/>
        <w:jc w:val="both"/>
        <w:rPr>
          <w:rFonts w:ascii="Times New Roman" w:hAnsi="Times New Roman" w:cs="Times New Roman"/>
        </w:rPr>
      </w:pPr>
      <w:proofErr w:type="spellStart"/>
      <w:r>
        <w:rPr>
          <w:rFonts w:ascii="Times New Roman" w:hAnsi="Times New Roman" w:cs="Times New Roman"/>
        </w:rPr>
        <w:t>Krueger</w:t>
      </w:r>
      <w:proofErr w:type="spellEnd"/>
      <w:r>
        <w:rPr>
          <w:rFonts w:ascii="Times New Roman" w:hAnsi="Times New Roman" w:cs="Times New Roman"/>
        </w:rPr>
        <w:t xml:space="preserve">, P., </w:t>
      </w:r>
      <w:proofErr w:type="spellStart"/>
      <w:r>
        <w:rPr>
          <w:rFonts w:ascii="Times New Roman" w:hAnsi="Times New Roman" w:cs="Times New Roman"/>
        </w:rPr>
        <w:t>Sautner</w:t>
      </w:r>
      <w:proofErr w:type="spellEnd"/>
      <w:r w:rsidR="005A1713">
        <w:rPr>
          <w:rFonts w:ascii="Times New Roman" w:hAnsi="Times New Roman" w:cs="Times New Roman"/>
        </w:rPr>
        <w:t xml:space="preserve">, Z., </w:t>
      </w:r>
      <w:proofErr w:type="spellStart"/>
      <w:r w:rsidR="005A1713">
        <w:rPr>
          <w:rFonts w:ascii="Times New Roman" w:hAnsi="Times New Roman" w:cs="Times New Roman"/>
        </w:rPr>
        <w:t>Starks</w:t>
      </w:r>
      <w:proofErr w:type="spellEnd"/>
      <w:r w:rsidR="005A1713">
        <w:rPr>
          <w:rFonts w:ascii="Times New Roman" w:hAnsi="Times New Roman" w:cs="Times New Roman"/>
        </w:rPr>
        <w:t xml:space="preserve">, L.T. (2020). The importance of </w:t>
      </w:r>
      <w:proofErr w:type="spellStart"/>
      <w:r w:rsidR="005A1713">
        <w:rPr>
          <w:rFonts w:ascii="Times New Roman" w:hAnsi="Times New Roman" w:cs="Times New Roman"/>
        </w:rPr>
        <w:t>climate</w:t>
      </w:r>
      <w:proofErr w:type="spellEnd"/>
      <w:r w:rsidR="005A1713">
        <w:rPr>
          <w:rFonts w:ascii="Times New Roman" w:hAnsi="Times New Roman" w:cs="Times New Roman"/>
        </w:rPr>
        <w:t xml:space="preserve"> </w:t>
      </w:r>
      <w:proofErr w:type="spellStart"/>
      <w:r w:rsidR="005A1713">
        <w:rPr>
          <w:rFonts w:ascii="Times New Roman" w:hAnsi="Times New Roman" w:cs="Times New Roman"/>
        </w:rPr>
        <w:t>risks</w:t>
      </w:r>
      <w:proofErr w:type="spellEnd"/>
      <w:r w:rsidR="005A1713">
        <w:rPr>
          <w:rFonts w:ascii="Times New Roman" w:hAnsi="Times New Roman" w:cs="Times New Roman"/>
        </w:rPr>
        <w:t xml:space="preserve"> for </w:t>
      </w:r>
      <w:proofErr w:type="spellStart"/>
      <w:r w:rsidR="005A1713">
        <w:rPr>
          <w:rFonts w:ascii="Times New Roman" w:hAnsi="Times New Roman" w:cs="Times New Roman"/>
        </w:rPr>
        <w:t>institutional</w:t>
      </w:r>
      <w:proofErr w:type="spellEnd"/>
      <w:r w:rsidR="005A1713">
        <w:rPr>
          <w:rFonts w:ascii="Times New Roman" w:hAnsi="Times New Roman" w:cs="Times New Roman"/>
        </w:rPr>
        <w:t xml:space="preserve"> </w:t>
      </w:r>
      <w:proofErr w:type="spellStart"/>
      <w:r w:rsidR="005A1713">
        <w:rPr>
          <w:rFonts w:ascii="Times New Roman" w:hAnsi="Times New Roman" w:cs="Times New Roman"/>
        </w:rPr>
        <w:t>investors</w:t>
      </w:r>
      <w:proofErr w:type="spellEnd"/>
      <w:r w:rsidR="005A1713">
        <w:rPr>
          <w:rFonts w:ascii="Times New Roman" w:hAnsi="Times New Roman" w:cs="Times New Roman"/>
        </w:rPr>
        <w:t xml:space="preserve">. </w:t>
      </w:r>
      <w:r w:rsidR="005A1713">
        <w:rPr>
          <w:rFonts w:ascii="Times New Roman" w:hAnsi="Times New Roman" w:cs="Times New Roman"/>
          <w:i/>
        </w:rPr>
        <w:t xml:space="preserve">The </w:t>
      </w:r>
      <w:proofErr w:type="spellStart"/>
      <w:r w:rsidR="005A1713">
        <w:rPr>
          <w:rFonts w:ascii="Times New Roman" w:hAnsi="Times New Roman" w:cs="Times New Roman"/>
          <w:i/>
        </w:rPr>
        <w:t>Review</w:t>
      </w:r>
      <w:proofErr w:type="spellEnd"/>
      <w:r w:rsidR="005A1713">
        <w:rPr>
          <w:rFonts w:ascii="Times New Roman" w:hAnsi="Times New Roman" w:cs="Times New Roman"/>
          <w:i/>
        </w:rPr>
        <w:t xml:space="preserve"> of Financial </w:t>
      </w:r>
      <w:proofErr w:type="spellStart"/>
      <w:r w:rsidR="005A1713">
        <w:rPr>
          <w:rFonts w:ascii="Times New Roman" w:hAnsi="Times New Roman" w:cs="Times New Roman"/>
          <w:i/>
        </w:rPr>
        <w:t>Studies</w:t>
      </w:r>
      <w:proofErr w:type="spellEnd"/>
      <w:r w:rsidR="005A1713">
        <w:rPr>
          <w:rFonts w:ascii="Times New Roman" w:hAnsi="Times New Roman" w:cs="Times New Roman"/>
        </w:rPr>
        <w:t xml:space="preserve"> 33 (3</w:t>
      </w:r>
      <w:proofErr w:type="gramStart"/>
      <w:r w:rsidR="005A1713">
        <w:rPr>
          <w:rFonts w:ascii="Times New Roman" w:hAnsi="Times New Roman" w:cs="Times New Roman"/>
        </w:rPr>
        <w:t>):</w:t>
      </w:r>
      <w:proofErr w:type="gramEnd"/>
      <w:r w:rsidR="005A1713">
        <w:rPr>
          <w:rFonts w:ascii="Times New Roman" w:hAnsi="Times New Roman" w:cs="Times New Roman"/>
        </w:rPr>
        <w:t xml:space="preserve"> 1067-1111.</w:t>
      </w:r>
    </w:p>
    <w:p w:rsidR="00EB3251" w:rsidRPr="005B2E32" w:rsidRDefault="00A87F33"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Lu, J., Wang, J. (2021). </w:t>
      </w:r>
      <w:proofErr w:type="spellStart"/>
      <w:r w:rsidR="00EB3251" w:rsidRPr="005B2E32">
        <w:rPr>
          <w:rFonts w:ascii="Times New Roman" w:hAnsi="Times New Roman" w:cs="Times New Roman"/>
        </w:rPr>
        <w:t>Corporate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governance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law</w:t>
      </w:r>
      <w:proofErr w:type="spellEnd"/>
      <w:r w:rsidR="00EB3251" w:rsidRPr="005B2E32">
        <w:rPr>
          <w:rFonts w:ascii="Times New Roman" w:hAnsi="Times New Roman" w:cs="Times New Roman"/>
        </w:rPr>
        <w:t xml:space="preserve">, culture,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performance and CSR </w:t>
      </w:r>
      <w:proofErr w:type="spellStart"/>
      <w:proofErr w:type="gramStart"/>
      <w:r w:rsidR="00EB3251" w:rsidRPr="005B2E32">
        <w:rPr>
          <w:rFonts w:ascii="Times New Roman" w:hAnsi="Times New Roman" w:cs="Times New Roman"/>
        </w:rPr>
        <w:t>dis</w:t>
      </w:r>
      <w:r w:rsidRPr="005B2E32">
        <w:rPr>
          <w:rFonts w:ascii="Times New Roman" w:hAnsi="Times New Roman" w:cs="Times New Roman"/>
        </w:rPr>
        <w:t>closure</w:t>
      </w:r>
      <w:proofErr w:type="spellEnd"/>
      <w:r w:rsidRPr="005B2E32">
        <w:rPr>
          <w:rFonts w:ascii="Times New Roman" w:hAnsi="Times New Roman" w:cs="Times New Roman"/>
        </w:rPr>
        <w:t>:</w:t>
      </w:r>
      <w:proofErr w:type="gramEnd"/>
      <w:r w:rsidRPr="005B2E32">
        <w:rPr>
          <w:rFonts w:ascii="Times New Roman" w:hAnsi="Times New Roman" w:cs="Times New Roman"/>
        </w:rPr>
        <w:t xml:space="preserve"> A global perspective.</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Journal of International Financial </w:t>
      </w:r>
      <w:proofErr w:type="spellStart"/>
      <w:r w:rsidR="00EB3251" w:rsidRPr="005B2E32">
        <w:rPr>
          <w:rFonts w:ascii="Times New Roman" w:hAnsi="Times New Roman" w:cs="Times New Roman"/>
          <w:i/>
        </w:rPr>
        <w:t>Markets</w:t>
      </w:r>
      <w:proofErr w:type="spellEnd"/>
      <w:r w:rsidR="00EB3251" w:rsidRPr="005B2E32">
        <w:rPr>
          <w:rFonts w:ascii="Times New Roman" w:hAnsi="Times New Roman" w:cs="Times New Roman"/>
          <w:i/>
        </w:rPr>
        <w:t>, Institutions and Money</w:t>
      </w:r>
      <w:r w:rsidRPr="005B2E32">
        <w:rPr>
          <w:rFonts w:ascii="Times New Roman" w:hAnsi="Times New Roman" w:cs="Times New Roman"/>
        </w:rPr>
        <w:t xml:space="preserve"> </w:t>
      </w:r>
      <w:r w:rsidR="00EB3251" w:rsidRPr="005B2E32">
        <w:rPr>
          <w:rFonts w:ascii="Times New Roman" w:hAnsi="Times New Roman" w:cs="Times New Roman"/>
        </w:rPr>
        <w:t xml:space="preserve">70 </w:t>
      </w:r>
      <w:r w:rsidRPr="005B2E32">
        <w:rPr>
          <w:rFonts w:ascii="Times New Roman" w:hAnsi="Times New Roman" w:cs="Times New Roman"/>
        </w:rPr>
        <w:t>(</w:t>
      </w:r>
      <w:r w:rsidR="00EB3251" w:rsidRPr="005B2E32">
        <w:rPr>
          <w:rFonts w:ascii="Times New Roman" w:hAnsi="Times New Roman" w:cs="Times New Roman"/>
        </w:rPr>
        <w:t>3</w:t>
      </w:r>
      <w:r w:rsidRPr="005B2E32">
        <w:rPr>
          <w:rFonts w:ascii="Times New Roman" w:hAnsi="Times New Roman" w:cs="Times New Roman"/>
        </w:rPr>
        <w:t>)</w:t>
      </w:r>
      <w:r w:rsidR="00EB3251" w:rsidRPr="005B2E32">
        <w:rPr>
          <w:rFonts w:ascii="Times New Roman" w:hAnsi="Times New Roman" w:cs="Times New Roman"/>
        </w:rPr>
        <w:t>.</w:t>
      </w:r>
    </w:p>
    <w:p w:rsidR="00EB3251" w:rsidRPr="005B2E32" w:rsidRDefault="00A87F33" w:rsidP="005B2E32">
      <w:pPr>
        <w:spacing w:after="0" w:line="480" w:lineRule="auto"/>
        <w:jc w:val="both"/>
        <w:outlineLvl w:val="0"/>
        <w:rPr>
          <w:rFonts w:ascii="Times New Roman" w:eastAsia="Times New Roman" w:hAnsi="Times New Roman" w:cs="Times New Roman"/>
          <w:b/>
          <w:bCs/>
          <w:kern w:val="36"/>
          <w:lang w:eastAsia="fr-FR"/>
        </w:rPr>
      </w:pPr>
      <w:proofErr w:type="spellStart"/>
      <w:r w:rsidRPr="005B2E32">
        <w:rPr>
          <w:rFonts w:ascii="Times New Roman" w:hAnsi="Times New Roman" w:cs="Times New Roman"/>
        </w:rPr>
        <w:lastRenderedPageBreak/>
        <w:t>Luo</w:t>
      </w:r>
      <w:proofErr w:type="spellEnd"/>
      <w:r w:rsidRPr="005B2E32">
        <w:rPr>
          <w:rFonts w:ascii="Times New Roman" w:hAnsi="Times New Roman" w:cs="Times New Roman"/>
        </w:rPr>
        <w:t xml:space="preserve">, L. (2019). </w:t>
      </w:r>
      <w:r w:rsidR="00EB3251" w:rsidRPr="005B2E32">
        <w:rPr>
          <w:rFonts w:ascii="Times New Roman" w:eastAsia="Times New Roman" w:hAnsi="Times New Roman" w:cs="Times New Roman"/>
          <w:bCs/>
          <w:kern w:val="36"/>
          <w:lang w:eastAsia="fr-FR"/>
        </w:rPr>
        <w:t xml:space="preserve">The influence of </w:t>
      </w:r>
      <w:proofErr w:type="spellStart"/>
      <w:r w:rsidR="00EB3251" w:rsidRPr="005B2E32">
        <w:rPr>
          <w:rFonts w:ascii="Times New Roman" w:eastAsia="Times New Roman" w:hAnsi="Times New Roman" w:cs="Times New Roman"/>
          <w:bCs/>
          <w:kern w:val="36"/>
          <w:lang w:eastAsia="fr-FR"/>
        </w:rPr>
        <w:t>institutional</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contexts</w:t>
      </w:r>
      <w:proofErr w:type="spellEnd"/>
      <w:r w:rsidR="00EB3251" w:rsidRPr="005B2E32">
        <w:rPr>
          <w:rFonts w:ascii="Times New Roman" w:eastAsia="Times New Roman" w:hAnsi="Times New Roman" w:cs="Times New Roman"/>
          <w:bCs/>
          <w:kern w:val="36"/>
          <w:lang w:eastAsia="fr-FR"/>
        </w:rPr>
        <w:t xml:space="preserve"> on the </w:t>
      </w:r>
      <w:proofErr w:type="spellStart"/>
      <w:r w:rsidR="00EB3251" w:rsidRPr="005B2E32">
        <w:rPr>
          <w:rFonts w:ascii="Times New Roman" w:eastAsia="Times New Roman" w:hAnsi="Times New Roman" w:cs="Times New Roman"/>
          <w:bCs/>
          <w:kern w:val="36"/>
          <w:lang w:eastAsia="fr-FR"/>
        </w:rPr>
        <w:t>relationship</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between</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voluntary</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carbon</w:t>
      </w:r>
      <w:proofErr w:type="spellEnd"/>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kern w:val="36"/>
          <w:lang w:eastAsia="fr-FR"/>
        </w:rPr>
        <w:t>disclosure</w:t>
      </w:r>
      <w:proofErr w:type="spellEnd"/>
      <w:r w:rsidR="00EB3251" w:rsidRPr="005B2E32">
        <w:rPr>
          <w:rFonts w:ascii="Times New Roman" w:eastAsia="Times New Roman" w:hAnsi="Times New Roman" w:cs="Times New Roman"/>
          <w:bCs/>
          <w:kern w:val="36"/>
          <w:lang w:eastAsia="fr-FR"/>
        </w:rPr>
        <w:t xml:space="preserve"> an</w:t>
      </w:r>
      <w:r w:rsidRPr="005B2E32">
        <w:rPr>
          <w:rFonts w:ascii="Times New Roman" w:eastAsia="Times New Roman" w:hAnsi="Times New Roman" w:cs="Times New Roman"/>
          <w:bCs/>
          <w:kern w:val="36"/>
          <w:lang w:eastAsia="fr-FR"/>
        </w:rPr>
        <w:t xml:space="preserve">d </w:t>
      </w:r>
      <w:proofErr w:type="spellStart"/>
      <w:r w:rsidRPr="005B2E32">
        <w:rPr>
          <w:rFonts w:ascii="Times New Roman" w:eastAsia="Times New Roman" w:hAnsi="Times New Roman" w:cs="Times New Roman"/>
          <w:bCs/>
          <w:kern w:val="36"/>
          <w:lang w:eastAsia="fr-FR"/>
        </w:rPr>
        <w:t>carbon</w:t>
      </w:r>
      <w:proofErr w:type="spellEnd"/>
      <w:r w:rsidRPr="005B2E32">
        <w:rPr>
          <w:rFonts w:ascii="Times New Roman" w:eastAsia="Times New Roman" w:hAnsi="Times New Roman" w:cs="Times New Roman"/>
          <w:bCs/>
          <w:kern w:val="36"/>
          <w:lang w:eastAsia="fr-FR"/>
        </w:rPr>
        <w:t xml:space="preserve"> </w:t>
      </w:r>
      <w:proofErr w:type="spellStart"/>
      <w:r w:rsidRPr="005B2E32">
        <w:rPr>
          <w:rFonts w:ascii="Times New Roman" w:eastAsia="Times New Roman" w:hAnsi="Times New Roman" w:cs="Times New Roman"/>
          <w:bCs/>
          <w:kern w:val="36"/>
          <w:lang w:eastAsia="fr-FR"/>
        </w:rPr>
        <w:t>emission</w:t>
      </w:r>
      <w:proofErr w:type="spellEnd"/>
      <w:r w:rsidRPr="005B2E32">
        <w:rPr>
          <w:rFonts w:ascii="Times New Roman" w:eastAsia="Times New Roman" w:hAnsi="Times New Roman" w:cs="Times New Roman"/>
          <w:bCs/>
          <w:kern w:val="36"/>
          <w:lang w:eastAsia="fr-FR"/>
        </w:rPr>
        <w:t xml:space="preserve"> performance.</w:t>
      </w:r>
      <w:r w:rsidR="00EB3251" w:rsidRPr="005B2E32">
        <w:rPr>
          <w:rFonts w:ascii="Times New Roman" w:eastAsia="Times New Roman" w:hAnsi="Times New Roman" w:cs="Times New Roman"/>
          <w:bCs/>
          <w:kern w:val="36"/>
          <w:lang w:eastAsia="fr-FR"/>
        </w:rPr>
        <w:t xml:space="preserve"> </w:t>
      </w:r>
      <w:proofErr w:type="spellStart"/>
      <w:r w:rsidR="00EB3251" w:rsidRPr="005B2E32">
        <w:rPr>
          <w:rFonts w:ascii="Times New Roman" w:eastAsia="Times New Roman" w:hAnsi="Times New Roman" w:cs="Times New Roman"/>
          <w:bCs/>
          <w:i/>
          <w:kern w:val="36"/>
          <w:lang w:eastAsia="fr-FR"/>
        </w:rPr>
        <w:t>Accounting</w:t>
      </w:r>
      <w:proofErr w:type="spellEnd"/>
      <w:r w:rsidR="00EB3251" w:rsidRPr="005B2E32">
        <w:rPr>
          <w:rFonts w:ascii="Times New Roman" w:eastAsia="Times New Roman" w:hAnsi="Times New Roman" w:cs="Times New Roman"/>
          <w:bCs/>
          <w:i/>
          <w:kern w:val="36"/>
          <w:lang w:eastAsia="fr-FR"/>
        </w:rPr>
        <w:t xml:space="preserve"> &amp; Finance</w:t>
      </w:r>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59</w:t>
      </w:r>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2</w:t>
      </w:r>
      <w:proofErr w:type="gramStart"/>
      <w:r w:rsidRPr="005B2E32">
        <w:rPr>
          <w:rFonts w:ascii="Times New Roman" w:eastAsia="Times New Roman" w:hAnsi="Times New Roman" w:cs="Times New Roman"/>
          <w:bCs/>
          <w:kern w:val="36"/>
          <w:lang w:eastAsia="fr-FR"/>
        </w:rPr>
        <w:t>):</w:t>
      </w:r>
      <w:proofErr w:type="gramEnd"/>
      <w:r w:rsidRPr="005B2E32">
        <w:rPr>
          <w:rFonts w:ascii="Times New Roman" w:eastAsia="Times New Roman" w:hAnsi="Times New Roman" w:cs="Times New Roman"/>
          <w:bCs/>
          <w:kern w:val="36"/>
          <w:lang w:eastAsia="fr-FR"/>
        </w:rPr>
        <w:t xml:space="preserve"> </w:t>
      </w:r>
      <w:r w:rsidR="00EB3251" w:rsidRPr="005B2E32">
        <w:rPr>
          <w:rFonts w:ascii="Times New Roman" w:eastAsia="Times New Roman" w:hAnsi="Times New Roman" w:cs="Times New Roman"/>
          <w:bCs/>
          <w:kern w:val="36"/>
          <w:lang w:eastAsia="fr-FR"/>
        </w:rPr>
        <w:t>1235-1264.</w:t>
      </w:r>
    </w:p>
    <w:p w:rsidR="00EB3251" w:rsidRPr="005B2E32" w:rsidRDefault="00A87F33"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Luo</w:t>
      </w:r>
      <w:proofErr w:type="spellEnd"/>
      <w:r w:rsidRPr="005B2E32">
        <w:rPr>
          <w:rFonts w:ascii="Times New Roman" w:hAnsi="Times New Roman" w:cs="Times New Roman"/>
        </w:rPr>
        <w:t xml:space="preserve">, L., Tang, Q. (2014). </w:t>
      </w:r>
      <w:proofErr w:type="spellStart"/>
      <w:r w:rsidR="00EB3251" w:rsidRPr="005B2E32">
        <w:rPr>
          <w:rFonts w:ascii="Times New Roman" w:hAnsi="Times New Roman" w:cs="Times New Roman"/>
        </w:rPr>
        <w:t>Does</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voluntary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carbon</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reflect</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un</w:t>
      </w:r>
      <w:r w:rsidRPr="005B2E32">
        <w:rPr>
          <w:rFonts w:ascii="Times New Roman" w:hAnsi="Times New Roman" w:cs="Times New Roman"/>
        </w:rPr>
        <w:t>derlying</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carbon</w:t>
      </w:r>
      <w:proofErr w:type="spellEnd"/>
      <w:r w:rsidRPr="005B2E32">
        <w:rPr>
          <w:rFonts w:ascii="Times New Roman" w:hAnsi="Times New Roman" w:cs="Times New Roman"/>
        </w:rPr>
        <w:t xml:space="preserve"> performance ?</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Journal of </w:t>
      </w:r>
      <w:proofErr w:type="spellStart"/>
      <w:r w:rsidR="00EB3251" w:rsidRPr="005B2E32">
        <w:rPr>
          <w:rFonts w:ascii="Times New Roman" w:hAnsi="Times New Roman" w:cs="Times New Roman"/>
          <w:i/>
        </w:rPr>
        <w:t>Contemporary</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&amp; </w:t>
      </w:r>
      <w:proofErr w:type="spellStart"/>
      <w:r w:rsidR="00EB3251" w:rsidRPr="005B2E32">
        <w:rPr>
          <w:rFonts w:ascii="Times New Roman" w:hAnsi="Times New Roman" w:cs="Times New Roman"/>
          <w:i/>
        </w:rPr>
        <w:t>Economics</w:t>
      </w:r>
      <w:proofErr w:type="spellEnd"/>
      <w:r w:rsidRPr="005B2E32">
        <w:rPr>
          <w:rFonts w:ascii="Times New Roman" w:hAnsi="Times New Roman" w:cs="Times New Roman"/>
        </w:rPr>
        <w:t xml:space="preserve"> </w:t>
      </w:r>
      <w:r w:rsidR="00EB3251" w:rsidRPr="005B2E32">
        <w:rPr>
          <w:rFonts w:ascii="Times New Roman" w:hAnsi="Times New Roman" w:cs="Times New Roman"/>
        </w:rPr>
        <w:t>10</w:t>
      </w:r>
      <w:r w:rsidRPr="005B2E32">
        <w:rPr>
          <w:rFonts w:ascii="Times New Roman" w:hAnsi="Times New Roman" w:cs="Times New Roman"/>
        </w:rPr>
        <w:t xml:space="preserve"> (</w:t>
      </w:r>
      <w:r w:rsidR="00EB3251" w:rsidRPr="005B2E32">
        <w:rPr>
          <w:rFonts w:ascii="Times New Roman" w:hAnsi="Times New Roman" w:cs="Times New Roman"/>
        </w:rPr>
        <w:t>3</w:t>
      </w:r>
      <w:proofErr w:type="gramStart"/>
      <w:r w:rsidRPr="005B2E32">
        <w:rPr>
          <w:rFonts w:ascii="Times New Roman" w:hAnsi="Times New Roman" w:cs="Times New Roman"/>
        </w:rPr>
        <w:t>):</w:t>
      </w:r>
      <w:proofErr w:type="gramEnd"/>
      <w:r w:rsidRPr="005B2E32">
        <w:rPr>
          <w:rFonts w:ascii="Times New Roman" w:hAnsi="Times New Roman" w:cs="Times New Roman"/>
        </w:rPr>
        <w:t xml:space="preserve"> </w:t>
      </w:r>
      <w:r w:rsidR="00EB3251" w:rsidRPr="005B2E32">
        <w:rPr>
          <w:rFonts w:ascii="Times New Roman" w:hAnsi="Times New Roman" w:cs="Times New Roman"/>
        </w:rPr>
        <w:t>191-205.</w:t>
      </w:r>
    </w:p>
    <w:p w:rsidR="00EB3251" w:rsidRPr="005B2E32" w:rsidRDefault="00CE1B15"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Mahoney</w:t>
      </w:r>
      <w:proofErr w:type="spellEnd"/>
      <w:r w:rsidRPr="005B2E32">
        <w:rPr>
          <w:rFonts w:ascii="Times New Roman" w:hAnsi="Times New Roman" w:cs="Times New Roman"/>
        </w:rPr>
        <w:t xml:space="preserve">, L. S., </w:t>
      </w:r>
      <w:proofErr w:type="spellStart"/>
      <w:r w:rsidRPr="005B2E32">
        <w:rPr>
          <w:rFonts w:ascii="Times New Roman" w:hAnsi="Times New Roman" w:cs="Times New Roman"/>
        </w:rPr>
        <w:t>Thorne</w:t>
      </w:r>
      <w:proofErr w:type="spellEnd"/>
      <w:r w:rsidRPr="005B2E32">
        <w:rPr>
          <w:rFonts w:ascii="Times New Roman" w:hAnsi="Times New Roman" w:cs="Times New Roman"/>
        </w:rPr>
        <w:t xml:space="preserve">, L., Cecil, L., </w:t>
      </w:r>
      <w:proofErr w:type="spellStart"/>
      <w:r w:rsidRPr="005B2E32">
        <w:rPr>
          <w:rFonts w:ascii="Times New Roman" w:hAnsi="Times New Roman" w:cs="Times New Roman"/>
        </w:rPr>
        <w:t>LaGore</w:t>
      </w:r>
      <w:proofErr w:type="spellEnd"/>
      <w:r w:rsidRPr="005B2E32">
        <w:rPr>
          <w:rFonts w:ascii="Times New Roman" w:hAnsi="Times New Roman" w:cs="Times New Roman"/>
        </w:rPr>
        <w:t xml:space="preserve">, W. (2013). </w:t>
      </w:r>
      <w:r w:rsidR="00EB3251" w:rsidRPr="005B2E32">
        <w:rPr>
          <w:rFonts w:ascii="Times New Roman" w:hAnsi="Times New Roman" w:cs="Times New Roman"/>
        </w:rPr>
        <w:t xml:space="preserve">A </w:t>
      </w:r>
      <w:proofErr w:type="spellStart"/>
      <w:r w:rsidR="00EB3251" w:rsidRPr="005B2E32">
        <w:rPr>
          <w:rFonts w:ascii="Times New Roman" w:hAnsi="Times New Roman" w:cs="Times New Roman"/>
        </w:rPr>
        <w:t>research</w:t>
      </w:r>
      <w:proofErr w:type="spellEnd"/>
      <w:r w:rsidR="00EB3251" w:rsidRPr="005B2E32">
        <w:rPr>
          <w:rFonts w:ascii="Times New Roman" w:hAnsi="Times New Roman" w:cs="Times New Roman"/>
        </w:rPr>
        <w:t xml:space="preserve"> note on </w:t>
      </w:r>
      <w:proofErr w:type="spellStart"/>
      <w:r w:rsidR="00EB3251" w:rsidRPr="005B2E32">
        <w:rPr>
          <w:rFonts w:ascii="Times New Roman" w:hAnsi="Times New Roman" w:cs="Times New Roman"/>
        </w:rPr>
        <w:t>standalone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corporate</w:t>
      </w:r>
      <w:proofErr w:type="spellEnd"/>
      <w:r w:rsidR="00EB3251" w:rsidRPr="005B2E32">
        <w:rPr>
          <w:rFonts w:ascii="Times New Roman" w:hAnsi="Times New Roman" w:cs="Times New Roman"/>
        </w:rPr>
        <w:t xml:space="preserve"> social </w:t>
      </w:r>
      <w:proofErr w:type="spellStart"/>
      <w:r w:rsidR="00EB3251" w:rsidRPr="005B2E32">
        <w:rPr>
          <w:rFonts w:ascii="Times New Roman" w:hAnsi="Times New Roman" w:cs="Times New Roman"/>
        </w:rPr>
        <w:t>responsibility</w:t>
      </w:r>
      <w:proofErr w:type="spellEnd"/>
      <w:r w:rsidR="00EB3251" w:rsidRPr="005B2E32">
        <w:rPr>
          <w:rFonts w:ascii="Times New Roman" w:hAnsi="Times New Roman" w:cs="Times New Roman"/>
        </w:rPr>
        <w:t xml:space="preserve"> </w:t>
      </w:r>
      <w:proofErr w:type="gramStart"/>
      <w:r w:rsidR="00EB3251" w:rsidRPr="005B2E32">
        <w:rPr>
          <w:rFonts w:ascii="Times New Roman" w:hAnsi="Times New Roman" w:cs="Times New Roman"/>
        </w:rPr>
        <w:t>reports:</w:t>
      </w:r>
      <w:proofErr w:type="gramEnd"/>
      <w:r w:rsidRPr="005B2E32">
        <w:rPr>
          <w:rFonts w:ascii="Times New Roman" w:hAnsi="Times New Roman" w:cs="Times New Roman"/>
        </w:rPr>
        <w:t xml:space="preserve"> </w:t>
      </w:r>
      <w:proofErr w:type="spellStart"/>
      <w:r w:rsidRPr="005B2E32">
        <w:rPr>
          <w:rFonts w:ascii="Times New Roman" w:hAnsi="Times New Roman" w:cs="Times New Roman"/>
        </w:rPr>
        <w:t>Signalling</w:t>
      </w:r>
      <w:proofErr w:type="spellEnd"/>
      <w:r w:rsidRPr="005B2E32">
        <w:rPr>
          <w:rFonts w:ascii="Times New Roman" w:hAnsi="Times New Roman" w:cs="Times New Roman"/>
        </w:rPr>
        <w:t xml:space="preserve"> or </w:t>
      </w:r>
      <w:proofErr w:type="spellStart"/>
      <w:r w:rsidRPr="005B2E32">
        <w:rPr>
          <w:rFonts w:ascii="Times New Roman" w:hAnsi="Times New Roman" w:cs="Times New Roman"/>
        </w:rPr>
        <w:t>greenwashing</w:t>
      </w:r>
      <w:proofErr w:type="spellEnd"/>
      <w:r w:rsidRPr="005B2E32">
        <w:rPr>
          <w:rFonts w:ascii="Times New Roman" w:hAnsi="Times New Roman" w:cs="Times New Roman"/>
        </w:rPr>
        <w:t> ?</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Critical Perspectives on </w:t>
      </w:r>
      <w:proofErr w:type="spellStart"/>
      <w:r w:rsidR="00EB3251" w:rsidRPr="005B2E32">
        <w:rPr>
          <w:rFonts w:ascii="Times New Roman" w:hAnsi="Times New Roman" w:cs="Times New Roman"/>
          <w:i/>
        </w:rPr>
        <w:t>Accounting</w:t>
      </w:r>
      <w:proofErr w:type="spellEnd"/>
      <w:r w:rsidRPr="005B2E32">
        <w:rPr>
          <w:rFonts w:ascii="Times New Roman" w:hAnsi="Times New Roman" w:cs="Times New Roman"/>
        </w:rPr>
        <w:t xml:space="preserve"> 24 (</w:t>
      </w:r>
      <w:r w:rsidR="00EB3251" w:rsidRPr="005B2E32">
        <w:rPr>
          <w:rFonts w:ascii="Times New Roman" w:hAnsi="Times New Roman" w:cs="Times New Roman"/>
        </w:rPr>
        <w:t>4</w:t>
      </w:r>
      <w:proofErr w:type="gramStart"/>
      <w:r w:rsidRPr="005B2E32">
        <w:rPr>
          <w:rFonts w:ascii="Times New Roman" w:hAnsi="Times New Roman" w:cs="Times New Roman"/>
        </w:rPr>
        <w:t>):</w:t>
      </w:r>
      <w:proofErr w:type="gramEnd"/>
      <w:r w:rsidR="00EB3251" w:rsidRPr="005B2E32">
        <w:rPr>
          <w:rFonts w:ascii="Times New Roman" w:hAnsi="Times New Roman" w:cs="Times New Roman"/>
        </w:rPr>
        <w:t xml:space="preserve"> 350-359.</w:t>
      </w:r>
    </w:p>
    <w:p w:rsidR="00EB3251" w:rsidRPr="005B2E32" w:rsidRDefault="00861E1A"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Mésonnier</w:t>
      </w:r>
      <w:proofErr w:type="spellEnd"/>
      <w:r w:rsidRPr="005B2E32">
        <w:rPr>
          <w:rFonts w:ascii="Times New Roman" w:hAnsi="Times New Roman" w:cs="Times New Roman"/>
        </w:rPr>
        <w:t xml:space="preserve">, J. S. (2019). </w:t>
      </w:r>
      <w:r w:rsidR="00EB3251" w:rsidRPr="005B2E32">
        <w:rPr>
          <w:rFonts w:ascii="Times New Roman" w:hAnsi="Times New Roman" w:cs="Times New Roman"/>
        </w:rPr>
        <w:t xml:space="preserve">Banks’ </w:t>
      </w:r>
      <w:proofErr w:type="spellStart"/>
      <w:r w:rsidR="00EB3251" w:rsidRPr="005B2E32">
        <w:rPr>
          <w:rFonts w:ascii="Times New Roman" w:hAnsi="Times New Roman" w:cs="Times New Roman"/>
        </w:rPr>
        <w:t>climate</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commitments</w:t>
      </w:r>
      <w:proofErr w:type="spellEnd"/>
      <w:r w:rsidR="00EB3251" w:rsidRPr="005B2E32">
        <w:rPr>
          <w:rFonts w:ascii="Times New Roman" w:hAnsi="Times New Roman" w:cs="Times New Roman"/>
        </w:rPr>
        <w:t xml:space="preserve"> and </w:t>
      </w:r>
      <w:proofErr w:type="spellStart"/>
      <w:r w:rsidR="00EB3251" w:rsidRPr="005B2E32">
        <w:rPr>
          <w:rFonts w:ascii="Times New Roman" w:hAnsi="Times New Roman" w:cs="Times New Roman"/>
        </w:rPr>
        <w:t>credit</w:t>
      </w:r>
      <w:proofErr w:type="spellEnd"/>
      <w:r w:rsidR="00EB3251" w:rsidRPr="005B2E32">
        <w:rPr>
          <w:rFonts w:ascii="Times New Roman" w:hAnsi="Times New Roman" w:cs="Times New Roman"/>
        </w:rPr>
        <w:t xml:space="preserve"> to </w:t>
      </w:r>
      <w:proofErr w:type="spellStart"/>
      <w:r w:rsidR="00EB3251" w:rsidRPr="005B2E32">
        <w:rPr>
          <w:rFonts w:ascii="Times New Roman" w:hAnsi="Times New Roman" w:cs="Times New Roman"/>
        </w:rPr>
        <w:t>brown</w:t>
      </w:r>
      <w:proofErr w:type="spellEnd"/>
      <w:r w:rsidR="00EB3251" w:rsidRPr="005B2E32">
        <w:rPr>
          <w:rFonts w:ascii="Times New Roman" w:hAnsi="Times New Roman" w:cs="Times New Roman"/>
        </w:rPr>
        <w:t xml:space="preserve"> </w:t>
      </w:r>
      <w:proofErr w:type="gramStart"/>
      <w:r w:rsidR="00EB3251" w:rsidRPr="005B2E32">
        <w:rPr>
          <w:rFonts w:ascii="Times New Roman" w:hAnsi="Times New Roman" w:cs="Times New Roman"/>
        </w:rPr>
        <w:t>indust</w:t>
      </w:r>
      <w:r w:rsidRPr="005B2E32">
        <w:rPr>
          <w:rFonts w:ascii="Times New Roman" w:hAnsi="Times New Roman" w:cs="Times New Roman"/>
        </w:rPr>
        <w:t>ries:</w:t>
      </w:r>
      <w:proofErr w:type="gramEnd"/>
      <w:r w:rsidRPr="005B2E32">
        <w:rPr>
          <w:rFonts w:ascii="Times New Roman" w:hAnsi="Times New Roman" w:cs="Times New Roman"/>
        </w:rPr>
        <w:t xml:space="preserve"> New </w:t>
      </w:r>
      <w:proofErr w:type="spellStart"/>
      <w:r w:rsidRPr="005B2E32">
        <w:rPr>
          <w:rFonts w:ascii="Times New Roman" w:hAnsi="Times New Roman" w:cs="Times New Roman"/>
        </w:rPr>
        <w:t>evidence</w:t>
      </w:r>
      <w:proofErr w:type="spellEnd"/>
      <w:r w:rsidRPr="005B2E32">
        <w:rPr>
          <w:rFonts w:ascii="Times New Roman" w:hAnsi="Times New Roman" w:cs="Times New Roman"/>
        </w:rPr>
        <w:t xml:space="preserve"> for France.</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Working</w:t>
      </w:r>
      <w:proofErr w:type="spellEnd"/>
      <w:r w:rsidR="00EB3251" w:rsidRPr="005B2E32">
        <w:rPr>
          <w:rFonts w:ascii="Times New Roman" w:hAnsi="Times New Roman" w:cs="Times New Roman"/>
        </w:rPr>
        <w:t xml:space="preserve"> Paper N° 743,</w:t>
      </w:r>
      <w:r w:rsidRPr="005B2E32">
        <w:rPr>
          <w:rFonts w:ascii="Times New Roman" w:hAnsi="Times New Roman" w:cs="Times New Roman"/>
        </w:rPr>
        <w:t xml:space="preserve"> Banque de France.</w:t>
      </w:r>
    </w:p>
    <w:p w:rsidR="00EB3251" w:rsidRPr="005B2E32" w:rsidRDefault="00861E1A" w:rsidP="005B2E32">
      <w:pPr>
        <w:spacing w:after="0" w:line="480" w:lineRule="auto"/>
        <w:jc w:val="both"/>
        <w:rPr>
          <w:rFonts w:ascii="Times New Roman" w:eastAsia="Times New Roman" w:hAnsi="Times New Roman" w:cs="Times New Roman"/>
          <w:lang w:eastAsia="fr-FR"/>
        </w:rPr>
      </w:pPr>
      <w:proofErr w:type="spellStart"/>
      <w:r w:rsidRPr="005B2E32">
        <w:rPr>
          <w:rFonts w:ascii="Times New Roman" w:hAnsi="Times New Roman" w:cs="Times New Roman"/>
        </w:rPr>
        <w:t>Mésonnier</w:t>
      </w:r>
      <w:proofErr w:type="spellEnd"/>
      <w:r w:rsidRPr="005B2E32">
        <w:rPr>
          <w:rFonts w:ascii="Times New Roman" w:hAnsi="Times New Roman" w:cs="Times New Roman"/>
        </w:rPr>
        <w:t xml:space="preserve">, J. S., Nguyen, B. (2020). </w:t>
      </w:r>
      <w:proofErr w:type="spellStart"/>
      <w:r w:rsidR="00EB3251" w:rsidRPr="005B2E32">
        <w:rPr>
          <w:rFonts w:ascii="Times New Roman" w:hAnsi="Times New Roman" w:cs="Times New Roman"/>
        </w:rPr>
        <w:t>Showing</w:t>
      </w:r>
      <w:proofErr w:type="spellEnd"/>
      <w:r w:rsidR="00EB3251" w:rsidRPr="005B2E32">
        <w:rPr>
          <w:rFonts w:ascii="Times New Roman" w:hAnsi="Times New Roman" w:cs="Times New Roman"/>
        </w:rPr>
        <w:t xml:space="preserve"> off </w:t>
      </w:r>
      <w:proofErr w:type="spellStart"/>
      <w:r w:rsidR="00EB3251" w:rsidRPr="005B2E32">
        <w:rPr>
          <w:rFonts w:ascii="Times New Roman" w:hAnsi="Times New Roman" w:cs="Times New Roman"/>
        </w:rPr>
        <w:t>cleaner</w:t>
      </w:r>
      <w:proofErr w:type="spellEnd"/>
      <w:r w:rsidR="00EB3251" w:rsidRPr="005B2E32">
        <w:rPr>
          <w:rFonts w:ascii="Times New Roman" w:hAnsi="Times New Roman" w:cs="Times New Roman"/>
        </w:rPr>
        <w:t xml:space="preserve"> </w:t>
      </w:r>
      <w:proofErr w:type="gramStart"/>
      <w:r w:rsidR="00EB3251" w:rsidRPr="005B2E32">
        <w:rPr>
          <w:rFonts w:ascii="Times New Roman" w:hAnsi="Times New Roman" w:cs="Times New Roman"/>
        </w:rPr>
        <w:t>hands:</w:t>
      </w:r>
      <w:proofErr w:type="gram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Mandatory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climate-related</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 xml:space="preserve"> by </w:t>
      </w:r>
      <w:proofErr w:type="spellStart"/>
      <w:r w:rsidR="00EB3251" w:rsidRPr="005B2E32">
        <w:rPr>
          <w:rFonts w:ascii="Times New Roman" w:hAnsi="Times New Roman" w:cs="Times New Roman"/>
        </w:rPr>
        <w:t>financial</w:t>
      </w:r>
      <w:proofErr w:type="spellEnd"/>
      <w:r w:rsidR="00EB3251" w:rsidRPr="005B2E32">
        <w:rPr>
          <w:rFonts w:ascii="Times New Roman" w:hAnsi="Times New Roman" w:cs="Times New Roman"/>
        </w:rPr>
        <w:t xml:space="preserve"> institutions and t</w:t>
      </w:r>
      <w:r w:rsidRPr="005B2E32">
        <w:rPr>
          <w:rFonts w:ascii="Times New Roman" w:hAnsi="Times New Roman" w:cs="Times New Roman"/>
        </w:rPr>
        <w:t xml:space="preserve">he </w:t>
      </w:r>
      <w:proofErr w:type="spellStart"/>
      <w:r w:rsidRPr="005B2E32">
        <w:rPr>
          <w:rFonts w:ascii="Times New Roman" w:hAnsi="Times New Roman" w:cs="Times New Roman"/>
        </w:rPr>
        <w:t>financing</w:t>
      </w:r>
      <w:proofErr w:type="spellEnd"/>
      <w:r w:rsidRPr="005B2E32">
        <w:rPr>
          <w:rFonts w:ascii="Times New Roman" w:hAnsi="Times New Roman" w:cs="Times New Roman"/>
        </w:rPr>
        <w:t xml:space="preserve"> of </w:t>
      </w:r>
      <w:proofErr w:type="spellStart"/>
      <w:r w:rsidRPr="005B2E32">
        <w:rPr>
          <w:rFonts w:ascii="Times New Roman" w:hAnsi="Times New Roman" w:cs="Times New Roman"/>
        </w:rPr>
        <w:t>fossil</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energy</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Pr="005B2E32">
        <w:rPr>
          <w:rFonts w:ascii="Times New Roman" w:hAnsi="Times New Roman" w:cs="Times New Roman"/>
        </w:rPr>
        <w:t>Working</w:t>
      </w:r>
      <w:proofErr w:type="spellEnd"/>
      <w:r w:rsidRPr="005B2E32">
        <w:rPr>
          <w:rFonts w:ascii="Times New Roman" w:hAnsi="Times New Roman" w:cs="Times New Roman"/>
        </w:rPr>
        <w:t xml:space="preserve"> Paper N° 800, </w:t>
      </w:r>
      <w:r w:rsidR="00EB3251" w:rsidRPr="005B2E32">
        <w:rPr>
          <w:rFonts w:ascii="Times New Roman" w:hAnsi="Times New Roman" w:cs="Times New Roman"/>
        </w:rPr>
        <w:t xml:space="preserve">Banque de </w:t>
      </w:r>
      <w:r w:rsidRPr="005B2E32">
        <w:rPr>
          <w:rFonts w:ascii="Times New Roman" w:hAnsi="Times New Roman" w:cs="Times New Roman"/>
        </w:rPr>
        <w:t>France.</w:t>
      </w:r>
    </w:p>
    <w:p w:rsidR="00EB3251" w:rsidRPr="005B2E32" w:rsidRDefault="00861E1A"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Patten, D. M. (1992). </w:t>
      </w:r>
      <w:r w:rsidR="00EB3251" w:rsidRPr="005B2E32">
        <w:rPr>
          <w:rFonts w:ascii="Times New Roman" w:hAnsi="Times New Roman" w:cs="Times New Roman"/>
        </w:rPr>
        <w:t>Intra-</w:t>
      </w:r>
      <w:proofErr w:type="spellStart"/>
      <w:r w:rsidR="00EB3251" w:rsidRPr="005B2E32">
        <w:rPr>
          <w:rFonts w:ascii="Times New Roman" w:hAnsi="Times New Roman" w:cs="Times New Roman"/>
        </w:rPr>
        <w:t>industry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disclosures</w:t>
      </w:r>
      <w:proofErr w:type="spellEnd"/>
      <w:r w:rsidR="00EB3251" w:rsidRPr="005B2E32">
        <w:rPr>
          <w:rFonts w:ascii="Times New Roman" w:hAnsi="Times New Roman" w:cs="Times New Roman"/>
        </w:rPr>
        <w:t xml:space="preserve"> in </w:t>
      </w:r>
      <w:proofErr w:type="spellStart"/>
      <w:r w:rsidR="00EB3251" w:rsidRPr="005B2E32">
        <w:rPr>
          <w:rFonts w:ascii="Times New Roman" w:hAnsi="Times New Roman" w:cs="Times New Roman"/>
        </w:rPr>
        <w:t>resp</w:t>
      </w:r>
      <w:r w:rsidRPr="005B2E32">
        <w:rPr>
          <w:rFonts w:ascii="Times New Roman" w:hAnsi="Times New Roman" w:cs="Times New Roman"/>
        </w:rPr>
        <w:t>onse</w:t>
      </w:r>
      <w:proofErr w:type="spellEnd"/>
      <w:r w:rsidRPr="005B2E32">
        <w:rPr>
          <w:rFonts w:ascii="Times New Roman" w:hAnsi="Times New Roman" w:cs="Times New Roman"/>
        </w:rPr>
        <w:t xml:space="preserve"> to the </w:t>
      </w:r>
      <w:proofErr w:type="spellStart"/>
      <w:r w:rsidRPr="005B2E32">
        <w:rPr>
          <w:rFonts w:ascii="Times New Roman" w:hAnsi="Times New Roman" w:cs="Times New Roman"/>
        </w:rPr>
        <w:t>Alaskan</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oil</w:t>
      </w:r>
      <w:proofErr w:type="spellEnd"/>
      <w:r w:rsidRPr="005B2E32">
        <w:rPr>
          <w:rFonts w:ascii="Times New Roman" w:hAnsi="Times New Roman" w:cs="Times New Roman"/>
        </w:rPr>
        <w:t xml:space="preserve"> </w:t>
      </w:r>
      <w:proofErr w:type="spellStart"/>
      <w:proofErr w:type="gramStart"/>
      <w:r w:rsidRPr="005B2E32">
        <w:rPr>
          <w:rFonts w:ascii="Times New Roman" w:hAnsi="Times New Roman" w:cs="Times New Roman"/>
        </w:rPr>
        <w:t>spill</w:t>
      </w:r>
      <w:proofErr w:type="spellEnd"/>
      <w:r w:rsidRPr="005B2E32">
        <w:rPr>
          <w:rFonts w:ascii="Times New Roman" w:hAnsi="Times New Roman" w:cs="Times New Roman"/>
        </w:rPr>
        <w:t>:</w:t>
      </w:r>
      <w:proofErr w:type="gramEnd"/>
      <w:r w:rsidRPr="005B2E32">
        <w:rPr>
          <w:rFonts w:ascii="Times New Roman" w:hAnsi="Times New Roman" w:cs="Times New Roman"/>
        </w:rPr>
        <w:t xml:space="preserve"> A note on </w:t>
      </w:r>
      <w:proofErr w:type="spellStart"/>
      <w:r w:rsidRPr="005B2E32">
        <w:rPr>
          <w:rFonts w:ascii="Times New Roman" w:hAnsi="Times New Roman" w:cs="Times New Roman"/>
        </w:rPr>
        <w:t>legitimacy</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theory</w:t>
      </w:r>
      <w:proofErr w:type="spellEnd"/>
      <w:r w:rsidRPr="005B2E32">
        <w:rPr>
          <w:rFonts w:ascii="Times New Roman" w:hAnsi="Times New Roman" w:cs="Times New Roman"/>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Organizations</w:t>
      </w:r>
      <w:proofErr w:type="spellEnd"/>
      <w:r w:rsidR="00EB3251" w:rsidRPr="005B2E32">
        <w:rPr>
          <w:rFonts w:ascii="Times New Roman" w:hAnsi="Times New Roman" w:cs="Times New Roman"/>
          <w:i/>
        </w:rPr>
        <w:t xml:space="preserve"> and Society</w:t>
      </w:r>
      <w:r w:rsidRPr="005B2E32">
        <w:rPr>
          <w:rFonts w:ascii="Times New Roman" w:hAnsi="Times New Roman" w:cs="Times New Roman"/>
        </w:rPr>
        <w:t xml:space="preserve"> </w:t>
      </w:r>
      <w:proofErr w:type="gramStart"/>
      <w:r w:rsidR="00EB3251" w:rsidRPr="005B2E32">
        <w:rPr>
          <w:rFonts w:ascii="Times New Roman" w:hAnsi="Times New Roman" w:cs="Times New Roman"/>
        </w:rPr>
        <w:t>17</w:t>
      </w:r>
      <w:r w:rsidRPr="005B2E32">
        <w:rPr>
          <w:rFonts w:ascii="Times New Roman" w:hAnsi="Times New Roman" w:cs="Times New Roman"/>
        </w:rPr>
        <w:t>:</w:t>
      </w:r>
      <w:proofErr w:type="gramEnd"/>
      <w:r w:rsidR="00EB3251" w:rsidRPr="005B2E32">
        <w:rPr>
          <w:rFonts w:ascii="Times New Roman" w:hAnsi="Times New Roman" w:cs="Times New Roman"/>
        </w:rPr>
        <w:t xml:space="preserve"> 471–475.</w:t>
      </w:r>
    </w:p>
    <w:p w:rsidR="00EB3251" w:rsidRPr="005B2E32" w:rsidRDefault="00861E1A"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Patten, D. M. (2002). </w:t>
      </w:r>
      <w:r w:rsidR="00EB3251" w:rsidRPr="005B2E32">
        <w:rPr>
          <w:rFonts w:ascii="Times New Roman" w:hAnsi="Times New Roman" w:cs="Times New Roman"/>
        </w:rPr>
        <w:t xml:space="preserve">The relation </w:t>
      </w:r>
      <w:proofErr w:type="spellStart"/>
      <w:r w:rsidR="00EB3251" w:rsidRPr="005B2E32">
        <w:rPr>
          <w:rFonts w:ascii="Times New Roman" w:hAnsi="Times New Roman" w:cs="Times New Roman"/>
        </w:rPr>
        <w:t>between</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performance</w:t>
      </w:r>
      <w:r w:rsidRPr="005B2E32">
        <w:rPr>
          <w:rFonts w:ascii="Times New Roman" w:hAnsi="Times New Roman" w:cs="Times New Roman"/>
        </w:rPr>
        <w:t xml:space="preserve"> and </w:t>
      </w:r>
      <w:proofErr w:type="spellStart"/>
      <w:r w:rsidRPr="005B2E32">
        <w:rPr>
          <w:rFonts w:ascii="Times New Roman" w:hAnsi="Times New Roman" w:cs="Times New Roman"/>
        </w:rPr>
        <w:t>environmental</w:t>
      </w:r>
      <w:proofErr w:type="spellEnd"/>
      <w:r w:rsidRPr="005B2E32">
        <w:rPr>
          <w:rFonts w:ascii="Times New Roman" w:hAnsi="Times New Roman" w:cs="Times New Roman"/>
        </w:rPr>
        <w:t xml:space="preserve"> </w:t>
      </w:r>
      <w:proofErr w:type="spellStart"/>
      <w:proofErr w:type="gramStart"/>
      <w:r w:rsidRPr="005B2E32">
        <w:rPr>
          <w:rFonts w:ascii="Times New Roman" w:hAnsi="Times New Roman" w:cs="Times New Roman"/>
        </w:rPr>
        <w:t>disclosure</w:t>
      </w:r>
      <w:proofErr w:type="spellEnd"/>
      <w:r w:rsidRPr="005B2E32">
        <w:rPr>
          <w:rFonts w:ascii="Times New Roman" w:hAnsi="Times New Roman" w:cs="Times New Roman"/>
        </w:rPr>
        <w:t>:</w:t>
      </w:r>
      <w:proofErr w:type="gramEnd"/>
      <w:r w:rsidRPr="005B2E32">
        <w:rPr>
          <w:rFonts w:ascii="Times New Roman" w:hAnsi="Times New Roman" w:cs="Times New Roman"/>
        </w:rPr>
        <w:t xml:space="preserve"> A </w:t>
      </w:r>
      <w:proofErr w:type="spellStart"/>
      <w:r w:rsidRPr="005B2E32">
        <w:rPr>
          <w:rFonts w:ascii="Times New Roman" w:hAnsi="Times New Roman" w:cs="Times New Roman"/>
        </w:rPr>
        <w:t>research</w:t>
      </w:r>
      <w:proofErr w:type="spellEnd"/>
      <w:r w:rsidRPr="005B2E32">
        <w:rPr>
          <w:rFonts w:ascii="Times New Roman" w:hAnsi="Times New Roman" w:cs="Times New Roman"/>
        </w:rPr>
        <w:t xml:space="preserve"> note.</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Accounting</w:t>
      </w:r>
      <w:proofErr w:type="spellEnd"/>
      <w:r w:rsidR="00EB3251" w:rsidRPr="005B2E32">
        <w:rPr>
          <w:rFonts w:ascii="Times New Roman" w:hAnsi="Times New Roman" w:cs="Times New Roman"/>
          <w:i/>
        </w:rPr>
        <w:t xml:space="preserve">, </w:t>
      </w:r>
      <w:proofErr w:type="spellStart"/>
      <w:r w:rsidR="00EB3251" w:rsidRPr="005B2E32">
        <w:rPr>
          <w:rFonts w:ascii="Times New Roman" w:hAnsi="Times New Roman" w:cs="Times New Roman"/>
          <w:i/>
        </w:rPr>
        <w:t>Organizations</w:t>
      </w:r>
      <w:proofErr w:type="spellEnd"/>
      <w:r w:rsidR="00EB3251" w:rsidRPr="005B2E32">
        <w:rPr>
          <w:rFonts w:ascii="Times New Roman" w:hAnsi="Times New Roman" w:cs="Times New Roman"/>
          <w:i/>
        </w:rPr>
        <w:t xml:space="preserve"> and Society</w:t>
      </w:r>
      <w:r w:rsidRPr="005B2E32">
        <w:rPr>
          <w:rFonts w:ascii="Times New Roman" w:hAnsi="Times New Roman" w:cs="Times New Roman"/>
        </w:rPr>
        <w:t xml:space="preserve"> </w:t>
      </w:r>
      <w:proofErr w:type="gramStart"/>
      <w:r w:rsidR="00EB3251" w:rsidRPr="005B2E32">
        <w:rPr>
          <w:rFonts w:ascii="Times New Roman" w:hAnsi="Times New Roman" w:cs="Times New Roman"/>
        </w:rPr>
        <w:t>27</w:t>
      </w:r>
      <w:r w:rsidRPr="005B2E32">
        <w:rPr>
          <w:rFonts w:ascii="Times New Roman" w:hAnsi="Times New Roman" w:cs="Times New Roman"/>
        </w:rPr>
        <w:t>:</w:t>
      </w:r>
      <w:proofErr w:type="gramEnd"/>
      <w:r w:rsidRPr="005B2E32">
        <w:rPr>
          <w:rFonts w:ascii="Times New Roman" w:hAnsi="Times New Roman" w:cs="Times New Roman"/>
        </w:rPr>
        <w:t xml:space="preserve"> </w:t>
      </w:r>
      <w:r w:rsidR="00EB3251" w:rsidRPr="005B2E32">
        <w:rPr>
          <w:rFonts w:ascii="Times New Roman" w:hAnsi="Times New Roman" w:cs="Times New Roman"/>
        </w:rPr>
        <w:t>763-773.</w:t>
      </w:r>
    </w:p>
    <w:p w:rsidR="00EB3251" w:rsidRPr="005B2E32" w:rsidRDefault="00861E1A"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Reynaud, E., </w:t>
      </w:r>
      <w:proofErr w:type="spellStart"/>
      <w:r w:rsidRPr="005B2E32">
        <w:rPr>
          <w:rFonts w:ascii="Times New Roman" w:hAnsi="Times New Roman" w:cs="Times New Roman"/>
        </w:rPr>
        <w:t>Walas</w:t>
      </w:r>
      <w:proofErr w:type="spellEnd"/>
      <w:r w:rsidRPr="005B2E32">
        <w:rPr>
          <w:rFonts w:ascii="Times New Roman" w:hAnsi="Times New Roman" w:cs="Times New Roman"/>
        </w:rPr>
        <w:t xml:space="preserve">, A. (2015). </w:t>
      </w:r>
      <w:r w:rsidR="00EB3251" w:rsidRPr="005B2E32">
        <w:rPr>
          <w:rFonts w:ascii="Times New Roman" w:hAnsi="Times New Roman" w:cs="Times New Roman"/>
        </w:rPr>
        <w:t>Discours sur la RSE dans le process</w:t>
      </w:r>
      <w:r w:rsidRPr="005B2E32">
        <w:rPr>
          <w:rFonts w:ascii="Times New Roman" w:hAnsi="Times New Roman" w:cs="Times New Roman"/>
        </w:rPr>
        <w:t>us de légitimation de la banque.</w:t>
      </w:r>
      <w:r w:rsidR="00EB3251" w:rsidRPr="005B2E32">
        <w:rPr>
          <w:rFonts w:ascii="Times New Roman" w:hAnsi="Times New Roman" w:cs="Times New Roman"/>
        </w:rPr>
        <w:t xml:space="preserve"> </w:t>
      </w:r>
      <w:r w:rsidR="00EB3251" w:rsidRPr="005B2E32">
        <w:rPr>
          <w:rFonts w:ascii="Times New Roman" w:hAnsi="Times New Roman" w:cs="Times New Roman"/>
          <w:i/>
        </w:rPr>
        <w:t>Revue Française de Gestion</w:t>
      </w:r>
      <w:r w:rsidRPr="005B2E32">
        <w:rPr>
          <w:rFonts w:ascii="Times New Roman" w:hAnsi="Times New Roman" w:cs="Times New Roman"/>
        </w:rPr>
        <w:t xml:space="preserve"> 3 (</w:t>
      </w:r>
      <w:r w:rsidR="00EB3251" w:rsidRPr="005B2E32">
        <w:rPr>
          <w:rFonts w:ascii="Times New Roman" w:hAnsi="Times New Roman" w:cs="Times New Roman"/>
        </w:rPr>
        <w:t>248</w:t>
      </w:r>
      <w:proofErr w:type="gramStart"/>
      <w:r w:rsidRPr="005B2E32">
        <w:rPr>
          <w:rFonts w:ascii="Times New Roman" w:hAnsi="Times New Roman" w:cs="Times New Roman"/>
        </w:rPr>
        <w:t>):</w:t>
      </w:r>
      <w:proofErr w:type="gramEnd"/>
      <w:r w:rsidRPr="005B2E32">
        <w:rPr>
          <w:rFonts w:ascii="Times New Roman" w:hAnsi="Times New Roman" w:cs="Times New Roman"/>
        </w:rPr>
        <w:t xml:space="preserve"> </w:t>
      </w:r>
      <w:r w:rsidR="00EB3251" w:rsidRPr="005B2E32">
        <w:rPr>
          <w:rFonts w:ascii="Times New Roman" w:hAnsi="Times New Roman" w:cs="Times New Roman"/>
        </w:rPr>
        <w:t>187-209.</w:t>
      </w:r>
    </w:p>
    <w:p w:rsidR="00EB3251" w:rsidRPr="005B2E32" w:rsidRDefault="00861E1A"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Suchman</w:t>
      </w:r>
      <w:proofErr w:type="spellEnd"/>
      <w:r w:rsidRPr="005B2E32">
        <w:rPr>
          <w:rFonts w:ascii="Times New Roman" w:hAnsi="Times New Roman" w:cs="Times New Roman"/>
        </w:rPr>
        <w:t xml:space="preserve">, M. C. (1995). </w:t>
      </w:r>
      <w:proofErr w:type="spellStart"/>
      <w:r w:rsidRPr="005B2E32">
        <w:rPr>
          <w:rFonts w:ascii="Times New Roman" w:hAnsi="Times New Roman" w:cs="Times New Roman"/>
        </w:rPr>
        <w:t>Managing</w:t>
      </w:r>
      <w:proofErr w:type="spellEnd"/>
      <w:r w:rsidRPr="005B2E32">
        <w:rPr>
          <w:rFonts w:ascii="Times New Roman" w:hAnsi="Times New Roman" w:cs="Times New Roman"/>
        </w:rPr>
        <w:t xml:space="preserve"> </w:t>
      </w:r>
      <w:proofErr w:type="spellStart"/>
      <w:proofErr w:type="gramStart"/>
      <w:r w:rsidRPr="005B2E32">
        <w:rPr>
          <w:rFonts w:ascii="Times New Roman" w:hAnsi="Times New Roman" w:cs="Times New Roman"/>
        </w:rPr>
        <w:t>legitimacy</w:t>
      </w:r>
      <w:proofErr w:type="spellEnd"/>
      <w:r w:rsidRPr="005B2E32">
        <w:rPr>
          <w:rFonts w:ascii="Times New Roman" w:hAnsi="Times New Roman" w:cs="Times New Roman"/>
        </w:rPr>
        <w:t>:</w:t>
      </w:r>
      <w:proofErr w:type="gramEnd"/>
      <w:r w:rsidRPr="005B2E32">
        <w:rPr>
          <w:rFonts w:ascii="Times New Roman" w:hAnsi="Times New Roman" w:cs="Times New Roman"/>
        </w:rPr>
        <w:t xml:space="preserve"> S</w:t>
      </w:r>
      <w:r w:rsidR="00EB3251" w:rsidRPr="005B2E32">
        <w:rPr>
          <w:rFonts w:ascii="Times New Roman" w:hAnsi="Times New Roman" w:cs="Times New Roman"/>
        </w:rPr>
        <w:t>trategic</w:t>
      </w:r>
      <w:r w:rsidRPr="005B2E32">
        <w:rPr>
          <w:rFonts w:ascii="Times New Roman" w:hAnsi="Times New Roman" w:cs="Times New Roman"/>
        </w:rPr>
        <w:t xml:space="preserve"> and </w:t>
      </w:r>
      <w:proofErr w:type="spellStart"/>
      <w:r w:rsidRPr="005B2E32">
        <w:rPr>
          <w:rFonts w:ascii="Times New Roman" w:hAnsi="Times New Roman" w:cs="Times New Roman"/>
        </w:rPr>
        <w:t>institutional</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approaches</w:t>
      </w:r>
      <w:proofErr w:type="spellEnd"/>
      <w:r w:rsidRPr="005B2E32">
        <w:rPr>
          <w:rFonts w:ascii="Times New Roman" w:hAnsi="Times New Roman" w:cs="Times New Roman"/>
        </w:rPr>
        <w:t xml:space="preserve">. </w:t>
      </w:r>
      <w:proofErr w:type="spellStart"/>
      <w:r w:rsidR="00EB3251" w:rsidRPr="005B2E32">
        <w:rPr>
          <w:rFonts w:ascii="Times New Roman" w:hAnsi="Times New Roman" w:cs="Times New Roman"/>
          <w:i/>
        </w:rPr>
        <w:t>Academy</w:t>
      </w:r>
      <w:proofErr w:type="spellEnd"/>
      <w:r w:rsidR="00EB3251" w:rsidRPr="005B2E32">
        <w:rPr>
          <w:rFonts w:ascii="Times New Roman" w:hAnsi="Times New Roman" w:cs="Times New Roman"/>
          <w:i/>
        </w:rPr>
        <w:t xml:space="preserve"> of Management </w:t>
      </w:r>
      <w:proofErr w:type="spellStart"/>
      <w:r w:rsidR="00EB3251" w:rsidRPr="005B2E32">
        <w:rPr>
          <w:rFonts w:ascii="Times New Roman" w:hAnsi="Times New Roman" w:cs="Times New Roman"/>
          <w:i/>
        </w:rPr>
        <w:t>Review</w:t>
      </w:r>
      <w:proofErr w:type="spellEnd"/>
      <w:r w:rsidRPr="005B2E32">
        <w:rPr>
          <w:rFonts w:ascii="Times New Roman" w:hAnsi="Times New Roman" w:cs="Times New Roman"/>
        </w:rPr>
        <w:t xml:space="preserve"> 2</w:t>
      </w:r>
      <w:r w:rsidR="00EB3251" w:rsidRPr="005B2E32">
        <w:rPr>
          <w:rFonts w:ascii="Times New Roman" w:hAnsi="Times New Roman" w:cs="Times New Roman"/>
        </w:rPr>
        <w:t>0</w:t>
      </w:r>
      <w:r w:rsidRPr="005B2E32">
        <w:rPr>
          <w:rFonts w:ascii="Times New Roman" w:hAnsi="Times New Roman" w:cs="Times New Roman"/>
        </w:rPr>
        <w:t xml:space="preserve"> (</w:t>
      </w:r>
      <w:r w:rsidR="00EB3251" w:rsidRPr="005B2E32">
        <w:rPr>
          <w:rFonts w:ascii="Times New Roman" w:hAnsi="Times New Roman" w:cs="Times New Roman"/>
        </w:rPr>
        <w:t>3</w:t>
      </w:r>
      <w:proofErr w:type="gramStart"/>
      <w:r w:rsidRPr="005B2E32">
        <w:rPr>
          <w:rFonts w:ascii="Times New Roman" w:hAnsi="Times New Roman" w:cs="Times New Roman"/>
        </w:rPr>
        <w:t>):</w:t>
      </w:r>
      <w:proofErr w:type="gramEnd"/>
      <w:r w:rsidR="00EB3251" w:rsidRPr="005B2E32">
        <w:rPr>
          <w:rFonts w:ascii="Times New Roman" w:hAnsi="Times New Roman" w:cs="Times New Roman"/>
        </w:rPr>
        <w:t xml:space="preserve"> 571-610. </w:t>
      </w:r>
    </w:p>
    <w:p w:rsidR="00EB3251" w:rsidRPr="005B2E32" w:rsidRDefault="00861E1A"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Teubler</w:t>
      </w:r>
      <w:proofErr w:type="spellEnd"/>
      <w:r w:rsidRPr="005B2E32">
        <w:rPr>
          <w:rFonts w:ascii="Times New Roman" w:hAnsi="Times New Roman" w:cs="Times New Roman"/>
        </w:rPr>
        <w:t xml:space="preserve">, J., </w:t>
      </w:r>
      <w:proofErr w:type="spellStart"/>
      <w:r w:rsidRPr="005B2E32">
        <w:rPr>
          <w:rFonts w:ascii="Times New Roman" w:hAnsi="Times New Roman" w:cs="Times New Roman"/>
        </w:rPr>
        <w:t>Kühlert</w:t>
      </w:r>
      <w:proofErr w:type="spellEnd"/>
      <w:r w:rsidRPr="005B2E32">
        <w:rPr>
          <w:rFonts w:ascii="Times New Roman" w:hAnsi="Times New Roman" w:cs="Times New Roman"/>
        </w:rPr>
        <w:t xml:space="preserve">, M. (2020). </w:t>
      </w:r>
      <w:r w:rsidR="00EB3251" w:rsidRPr="005B2E32">
        <w:rPr>
          <w:rFonts w:ascii="Times New Roman" w:hAnsi="Times New Roman" w:cs="Times New Roman"/>
        </w:rPr>
        <w:t xml:space="preserve">Financial </w:t>
      </w:r>
      <w:proofErr w:type="spellStart"/>
      <w:r w:rsidR="00EB3251" w:rsidRPr="005B2E32">
        <w:rPr>
          <w:rFonts w:ascii="Times New Roman" w:hAnsi="Times New Roman" w:cs="Times New Roman"/>
        </w:rPr>
        <w:t>carbon</w:t>
      </w:r>
      <w:proofErr w:type="spellEnd"/>
      <w:r w:rsidR="00EB3251" w:rsidRPr="005B2E32">
        <w:rPr>
          <w:rFonts w:ascii="Times New Roman" w:hAnsi="Times New Roman" w:cs="Times New Roman"/>
        </w:rPr>
        <w:t xml:space="preserve"> </w:t>
      </w:r>
      <w:proofErr w:type="spellStart"/>
      <w:proofErr w:type="gramStart"/>
      <w:r w:rsidR="00EB3251" w:rsidRPr="005B2E32">
        <w:rPr>
          <w:rFonts w:ascii="Times New Roman" w:hAnsi="Times New Roman" w:cs="Times New Roman"/>
        </w:rPr>
        <w:t>footprint</w:t>
      </w:r>
      <w:proofErr w:type="spellEnd"/>
      <w:r w:rsidR="00EB3251" w:rsidRPr="005B2E32">
        <w:rPr>
          <w:rFonts w:ascii="Times New Roman" w:hAnsi="Times New Roman" w:cs="Times New Roman"/>
        </w:rPr>
        <w:t>:</w:t>
      </w:r>
      <w:proofErr w:type="gram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Calculating</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banks</w:t>
      </w:r>
      <w:proofErr w:type="spellEnd"/>
      <w:r w:rsidR="00EB3251" w:rsidRPr="005B2E32">
        <w:rPr>
          <w:rFonts w:ascii="Times New Roman" w:hAnsi="Times New Roman" w:cs="Times New Roman"/>
        </w:rPr>
        <w:t xml:space="preserve">’ scope 3 </w:t>
      </w:r>
      <w:proofErr w:type="spellStart"/>
      <w:r w:rsidRPr="005B2E32">
        <w:rPr>
          <w:rFonts w:ascii="Times New Roman" w:hAnsi="Times New Roman" w:cs="Times New Roman"/>
        </w:rPr>
        <w:t>emissions</w:t>
      </w:r>
      <w:proofErr w:type="spellEnd"/>
      <w:r w:rsidRPr="005B2E32">
        <w:rPr>
          <w:rFonts w:ascii="Times New Roman" w:hAnsi="Times New Roman" w:cs="Times New Roman"/>
        </w:rPr>
        <w:t xml:space="preserve"> of </w:t>
      </w:r>
      <w:proofErr w:type="spellStart"/>
      <w:r w:rsidRPr="005B2E32">
        <w:rPr>
          <w:rFonts w:ascii="Times New Roman" w:hAnsi="Times New Roman" w:cs="Times New Roman"/>
        </w:rPr>
        <w:t>assets</w:t>
      </w:r>
      <w:proofErr w:type="spellEnd"/>
      <w:r w:rsidRPr="005B2E32">
        <w:rPr>
          <w:rFonts w:ascii="Times New Roman" w:hAnsi="Times New Roman" w:cs="Times New Roman"/>
        </w:rPr>
        <w:t xml:space="preserve"> and </w:t>
      </w:r>
      <w:proofErr w:type="spellStart"/>
      <w:r w:rsidRPr="005B2E32">
        <w:rPr>
          <w:rFonts w:ascii="Times New Roman" w:hAnsi="Times New Roman" w:cs="Times New Roman"/>
        </w:rPr>
        <w:t>loans</w:t>
      </w:r>
      <w:proofErr w:type="spellEnd"/>
      <w:r w:rsidRPr="005B2E32">
        <w:rPr>
          <w:rFonts w:ascii="Times New Roman" w:hAnsi="Times New Roman" w:cs="Times New Roman"/>
        </w:rPr>
        <w:t>.</w:t>
      </w:r>
      <w:r w:rsidR="00EB3251" w:rsidRPr="005B2E32">
        <w:rPr>
          <w:rFonts w:ascii="Times New Roman" w:hAnsi="Times New Roman" w:cs="Times New Roman"/>
        </w:rPr>
        <w:t xml:space="preserve"> ECEEE </w:t>
      </w:r>
      <w:proofErr w:type="spellStart"/>
      <w:r w:rsidR="00EB3251" w:rsidRPr="005B2E32">
        <w:rPr>
          <w:rFonts w:ascii="Times New Roman" w:hAnsi="Times New Roman" w:cs="Times New Roman"/>
        </w:rPr>
        <w:t>Industrial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Summer</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Study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Proceedings</w:t>
      </w:r>
      <w:proofErr w:type="spellEnd"/>
      <w:r w:rsidR="00EB3251" w:rsidRPr="005B2E32">
        <w:rPr>
          <w:rFonts w:ascii="Times New Roman" w:hAnsi="Times New Roman" w:cs="Times New Roman"/>
        </w:rPr>
        <w:t>.</w:t>
      </w:r>
    </w:p>
    <w:p w:rsidR="00EB3251" w:rsidRPr="005B2E32" w:rsidRDefault="00861E1A" w:rsidP="005B2E32">
      <w:pPr>
        <w:spacing w:after="0" w:line="480" w:lineRule="auto"/>
        <w:jc w:val="both"/>
        <w:rPr>
          <w:rFonts w:ascii="Times New Roman" w:hAnsi="Times New Roman" w:cs="Times New Roman"/>
        </w:rPr>
      </w:pPr>
      <w:r w:rsidRPr="005B2E32">
        <w:rPr>
          <w:rFonts w:ascii="Times New Roman" w:hAnsi="Times New Roman" w:cs="Times New Roman"/>
        </w:rPr>
        <w:t xml:space="preserve">Velte, P., </w:t>
      </w:r>
      <w:proofErr w:type="spellStart"/>
      <w:r w:rsidRPr="005B2E32">
        <w:rPr>
          <w:rFonts w:ascii="Times New Roman" w:hAnsi="Times New Roman" w:cs="Times New Roman"/>
        </w:rPr>
        <w:t>Stawinoga</w:t>
      </w:r>
      <w:proofErr w:type="spellEnd"/>
      <w:r w:rsidRPr="005B2E32">
        <w:rPr>
          <w:rFonts w:ascii="Times New Roman" w:hAnsi="Times New Roman" w:cs="Times New Roman"/>
        </w:rPr>
        <w:t xml:space="preserve">, M., </w:t>
      </w:r>
      <w:proofErr w:type="spellStart"/>
      <w:r w:rsidRPr="005B2E32">
        <w:rPr>
          <w:rFonts w:ascii="Times New Roman" w:hAnsi="Times New Roman" w:cs="Times New Roman"/>
        </w:rPr>
        <w:t>Lueg</w:t>
      </w:r>
      <w:proofErr w:type="spellEnd"/>
      <w:r w:rsidRPr="005B2E32">
        <w:rPr>
          <w:rFonts w:ascii="Times New Roman" w:hAnsi="Times New Roman" w:cs="Times New Roman"/>
        </w:rPr>
        <w:t xml:space="preserve">, R. (2020). </w:t>
      </w:r>
      <w:proofErr w:type="spellStart"/>
      <w:r w:rsidR="00EB3251" w:rsidRPr="005B2E32">
        <w:rPr>
          <w:rFonts w:ascii="Times New Roman" w:hAnsi="Times New Roman" w:cs="Times New Roman"/>
        </w:rPr>
        <w:t>Carbon</w:t>
      </w:r>
      <w:proofErr w:type="spellEnd"/>
      <w:r w:rsidR="00EB3251" w:rsidRPr="005B2E32">
        <w:rPr>
          <w:rFonts w:ascii="Times New Roman" w:hAnsi="Times New Roman" w:cs="Times New Roman"/>
        </w:rPr>
        <w:t xml:space="preserve"> performance and </w:t>
      </w:r>
      <w:proofErr w:type="spellStart"/>
      <w:proofErr w:type="gram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w:t>
      </w:r>
      <w:proofErr w:type="gramEnd"/>
      <w:r w:rsidR="00EB3251" w:rsidRPr="005B2E32">
        <w:rPr>
          <w:rFonts w:ascii="Times New Roman" w:hAnsi="Times New Roman" w:cs="Times New Roman"/>
        </w:rPr>
        <w:t xml:space="preserve"> A </w:t>
      </w:r>
      <w:proofErr w:type="spellStart"/>
      <w:r w:rsidR="00EB3251" w:rsidRPr="005B2E32">
        <w:rPr>
          <w:rFonts w:ascii="Times New Roman" w:hAnsi="Times New Roman" w:cs="Times New Roman"/>
        </w:rPr>
        <w:t>systematic</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review</w:t>
      </w:r>
      <w:proofErr w:type="spellEnd"/>
      <w:r w:rsidR="00EB3251" w:rsidRPr="005B2E32">
        <w:rPr>
          <w:rFonts w:ascii="Times New Roman" w:hAnsi="Times New Roman" w:cs="Times New Roman"/>
        </w:rPr>
        <w:t xml:space="preserve"> of </w:t>
      </w:r>
      <w:proofErr w:type="spellStart"/>
      <w:r w:rsidR="00EB3251" w:rsidRPr="005B2E32">
        <w:rPr>
          <w:rFonts w:ascii="Times New Roman" w:hAnsi="Times New Roman" w:cs="Times New Roman"/>
        </w:rPr>
        <w:t>governance-related</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determinan</w:t>
      </w:r>
      <w:r w:rsidRPr="005B2E32">
        <w:rPr>
          <w:rFonts w:ascii="Times New Roman" w:hAnsi="Times New Roman" w:cs="Times New Roman"/>
        </w:rPr>
        <w:t>ts</w:t>
      </w:r>
      <w:proofErr w:type="spellEnd"/>
      <w:r w:rsidRPr="005B2E32">
        <w:rPr>
          <w:rFonts w:ascii="Times New Roman" w:hAnsi="Times New Roman" w:cs="Times New Roman"/>
        </w:rPr>
        <w:t xml:space="preserve"> and </w:t>
      </w:r>
      <w:proofErr w:type="spellStart"/>
      <w:r w:rsidRPr="005B2E32">
        <w:rPr>
          <w:rFonts w:ascii="Times New Roman" w:hAnsi="Times New Roman" w:cs="Times New Roman"/>
        </w:rPr>
        <w:t>financial</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consequences</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r w:rsidR="00EB3251" w:rsidRPr="005B2E32">
        <w:rPr>
          <w:rFonts w:ascii="Times New Roman" w:hAnsi="Times New Roman" w:cs="Times New Roman"/>
          <w:i/>
        </w:rPr>
        <w:t xml:space="preserve">Journal of </w:t>
      </w:r>
      <w:proofErr w:type="spellStart"/>
      <w:r w:rsidR="00EB3251" w:rsidRPr="005B2E32">
        <w:rPr>
          <w:rFonts w:ascii="Times New Roman" w:hAnsi="Times New Roman" w:cs="Times New Roman"/>
          <w:i/>
        </w:rPr>
        <w:t>Cleaner</w:t>
      </w:r>
      <w:proofErr w:type="spellEnd"/>
      <w:r w:rsidR="00EB3251" w:rsidRPr="005B2E32">
        <w:rPr>
          <w:rFonts w:ascii="Times New Roman" w:hAnsi="Times New Roman" w:cs="Times New Roman"/>
          <w:i/>
        </w:rPr>
        <w:t xml:space="preserve"> Production</w:t>
      </w:r>
      <w:r w:rsidRPr="005B2E32">
        <w:rPr>
          <w:rFonts w:ascii="Times New Roman" w:hAnsi="Times New Roman" w:cs="Times New Roman"/>
        </w:rPr>
        <w:t xml:space="preserve"> 254.</w:t>
      </w:r>
    </w:p>
    <w:p w:rsidR="00EB3251" w:rsidRPr="005B2E32" w:rsidRDefault="00861E1A"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Yu</w:t>
      </w:r>
      <w:proofErr w:type="spellEnd"/>
      <w:r w:rsidRPr="005B2E32">
        <w:rPr>
          <w:rFonts w:ascii="Times New Roman" w:hAnsi="Times New Roman" w:cs="Times New Roman"/>
        </w:rPr>
        <w:t xml:space="preserve">, E. P., </w:t>
      </w:r>
      <w:proofErr w:type="spellStart"/>
      <w:r w:rsidRPr="005B2E32">
        <w:rPr>
          <w:rFonts w:ascii="Times New Roman" w:hAnsi="Times New Roman" w:cs="Times New Roman"/>
        </w:rPr>
        <w:t>Luu</w:t>
      </w:r>
      <w:proofErr w:type="spellEnd"/>
      <w:r w:rsidRPr="005B2E32">
        <w:rPr>
          <w:rFonts w:ascii="Times New Roman" w:hAnsi="Times New Roman" w:cs="Times New Roman"/>
        </w:rPr>
        <w:t xml:space="preserve">, B. V., Chen, C. H. (2020). </w:t>
      </w:r>
      <w:proofErr w:type="spellStart"/>
      <w:r w:rsidR="00EB3251" w:rsidRPr="005B2E32">
        <w:rPr>
          <w:rFonts w:ascii="Times New Roman" w:hAnsi="Times New Roman" w:cs="Times New Roman"/>
        </w:rPr>
        <w:t>Greenwashing</w:t>
      </w:r>
      <w:proofErr w:type="spellEnd"/>
      <w:r w:rsidR="00EB3251" w:rsidRPr="005B2E32">
        <w:rPr>
          <w:rFonts w:ascii="Times New Roman" w:hAnsi="Times New Roman" w:cs="Times New Roman"/>
        </w:rPr>
        <w:t xml:space="preserve"> in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soci</w:t>
      </w:r>
      <w:r w:rsidRPr="005B2E32">
        <w:rPr>
          <w:rFonts w:ascii="Times New Roman" w:hAnsi="Times New Roman" w:cs="Times New Roman"/>
        </w:rPr>
        <w:t xml:space="preserve">al and </w:t>
      </w:r>
      <w:proofErr w:type="spellStart"/>
      <w:r w:rsidRPr="005B2E32">
        <w:rPr>
          <w:rFonts w:ascii="Times New Roman" w:hAnsi="Times New Roman" w:cs="Times New Roman"/>
        </w:rPr>
        <w:t>governance</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disclosures</w:t>
      </w:r>
      <w:proofErr w:type="spellEnd"/>
      <w:r w:rsidRPr="005B2E32">
        <w:rPr>
          <w:rFonts w:ascii="Times New Roman" w:hAnsi="Times New Roman" w:cs="Times New Roman"/>
        </w:rPr>
        <w:t>.</w:t>
      </w:r>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i/>
        </w:rPr>
        <w:t>Research</w:t>
      </w:r>
      <w:proofErr w:type="spellEnd"/>
      <w:r w:rsidR="00EB3251" w:rsidRPr="005B2E32">
        <w:rPr>
          <w:rFonts w:ascii="Times New Roman" w:hAnsi="Times New Roman" w:cs="Times New Roman"/>
          <w:i/>
        </w:rPr>
        <w:t xml:space="preserve"> in International Business and Finance</w:t>
      </w:r>
      <w:r w:rsidRPr="005B2E32">
        <w:rPr>
          <w:rFonts w:ascii="Times New Roman" w:hAnsi="Times New Roman" w:cs="Times New Roman"/>
        </w:rPr>
        <w:t xml:space="preserve"> 52 (C).</w:t>
      </w:r>
    </w:p>
    <w:p w:rsidR="00EB3251" w:rsidRPr="005B2E32" w:rsidRDefault="009A69BF" w:rsidP="005B2E32">
      <w:pPr>
        <w:spacing w:after="0" w:line="480" w:lineRule="auto"/>
        <w:jc w:val="both"/>
        <w:rPr>
          <w:rFonts w:ascii="Times New Roman" w:hAnsi="Times New Roman" w:cs="Times New Roman"/>
        </w:rPr>
      </w:pPr>
      <w:proofErr w:type="spellStart"/>
      <w:r w:rsidRPr="005B2E32">
        <w:rPr>
          <w:rFonts w:ascii="Times New Roman" w:hAnsi="Times New Roman" w:cs="Times New Roman"/>
        </w:rPr>
        <w:t>Zanga</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Ongbwa</w:t>
      </w:r>
      <w:proofErr w:type="spellEnd"/>
      <w:r w:rsidRPr="005B2E32">
        <w:rPr>
          <w:rFonts w:ascii="Times New Roman" w:hAnsi="Times New Roman" w:cs="Times New Roman"/>
        </w:rPr>
        <w:t xml:space="preserve">, P. D. (2019). </w:t>
      </w:r>
      <w:r w:rsidR="00EB3251" w:rsidRPr="005B2E32">
        <w:rPr>
          <w:rFonts w:ascii="Times New Roman" w:hAnsi="Times New Roman" w:cs="Times New Roman"/>
        </w:rPr>
        <w:t xml:space="preserve">Les déterminants de la responsabilité environnementale des groupes bancaires en </w:t>
      </w:r>
      <w:proofErr w:type="gramStart"/>
      <w:r w:rsidR="00EB3251" w:rsidRPr="005B2E32">
        <w:rPr>
          <w:rFonts w:ascii="Times New Roman" w:hAnsi="Times New Roman" w:cs="Times New Roman"/>
        </w:rPr>
        <w:t>Afrique:</w:t>
      </w:r>
      <w:proofErr w:type="gramEnd"/>
      <w:r w:rsidR="00EB3251" w:rsidRPr="005B2E32">
        <w:rPr>
          <w:rFonts w:ascii="Times New Roman" w:hAnsi="Times New Roman" w:cs="Times New Roman"/>
        </w:rPr>
        <w:t xml:space="preserve"> Une vérifica</w:t>
      </w:r>
      <w:r w:rsidRPr="005B2E32">
        <w:rPr>
          <w:rFonts w:ascii="Times New Roman" w:hAnsi="Times New Roman" w:cs="Times New Roman"/>
        </w:rPr>
        <w:t>tion des préceptes théoriques.</w:t>
      </w:r>
      <w:r w:rsidR="00EB3251" w:rsidRPr="005B2E32">
        <w:rPr>
          <w:rFonts w:ascii="Times New Roman" w:hAnsi="Times New Roman" w:cs="Times New Roman"/>
        </w:rPr>
        <w:t xml:space="preserve"> </w:t>
      </w:r>
      <w:r w:rsidR="00EB3251" w:rsidRPr="005B2E32">
        <w:rPr>
          <w:rFonts w:ascii="Times New Roman" w:hAnsi="Times New Roman" w:cs="Times New Roman"/>
          <w:i/>
        </w:rPr>
        <w:t>Revue Congolaise de Gestion</w:t>
      </w:r>
      <w:r w:rsidRPr="005B2E32">
        <w:rPr>
          <w:rFonts w:ascii="Times New Roman" w:hAnsi="Times New Roman" w:cs="Times New Roman"/>
        </w:rPr>
        <w:t xml:space="preserve"> </w:t>
      </w:r>
      <w:proofErr w:type="gramStart"/>
      <w:r w:rsidRPr="005B2E32">
        <w:rPr>
          <w:rFonts w:ascii="Times New Roman" w:hAnsi="Times New Roman" w:cs="Times New Roman"/>
        </w:rPr>
        <w:t>28:</w:t>
      </w:r>
      <w:proofErr w:type="gramEnd"/>
      <w:r w:rsidRPr="005B2E32">
        <w:rPr>
          <w:rFonts w:ascii="Times New Roman" w:hAnsi="Times New Roman" w:cs="Times New Roman"/>
        </w:rPr>
        <w:t xml:space="preserve"> </w:t>
      </w:r>
      <w:r w:rsidR="00EB3251" w:rsidRPr="005B2E32">
        <w:rPr>
          <w:rFonts w:ascii="Times New Roman" w:hAnsi="Times New Roman" w:cs="Times New Roman"/>
        </w:rPr>
        <w:t>128-153.</w:t>
      </w:r>
    </w:p>
    <w:p w:rsidR="00EB3251" w:rsidRPr="005B2E32" w:rsidRDefault="009A69BF" w:rsidP="005B2E32">
      <w:pPr>
        <w:spacing w:after="0" w:line="480" w:lineRule="auto"/>
        <w:jc w:val="both"/>
        <w:rPr>
          <w:rFonts w:ascii="Times New Roman" w:hAnsi="Times New Roman" w:cs="Times New Roman"/>
        </w:rPr>
      </w:pPr>
      <w:r w:rsidRPr="005B2E32">
        <w:rPr>
          <w:rFonts w:ascii="Times New Roman" w:hAnsi="Times New Roman" w:cs="Times New Roman"/>
        </w:rPr>
        <w:lastRenderedPageBreak/>
        <w:t xml:space="preserve">Zeeshan, M., Zubair, A., </w:t>
      </w:r>
      <w:proofErr w:type="spellStart"/>
      <w:r w:rsidRPr="005B2E32">
        <w:rPr>
          <w:rFonts w:ascii="Times New Roman" w:hAnsi="Times New Roman" w:cs="Times New Roman"/>
        </w:rPr>
        <w:t>Waris</w:t>
      </w:r>
      <w:proofErr w:type="spellEnd"/>
      <w:r w:rsidRPr="005B2E32">
        <w:rPr>
          <w:rFonts w:ascii="Times New Roman" w:hAnsi="Times New Roman" w:cs="Times New Roman"/>
        </w:rPr>
        <w:t xml:space="preserve">, A., </w:t>
      </w:r>
      <w:proofErr w:type="spellStart"/>
      <w:r w:rsidRPr="005B2E32">
        <w:rPr>
          <w:rFonts w:ascii="Times New Roman" w:hAnsi="Times New Roman" w:cs="Times New Roman"/>
        </w:rPr>
        <w:t>Aneela</w:t>
      </w:r>
      <w:proofErr w:type="spellEnd"/>
      <w:r w:rsidRPr="005B2E32">
        <w:rPr>
          <w:rFonts w:ascii="Times New Roman" w:hAnsi="Times New Roman" w:cs="Times New Roman"/>
        </w:rPr>
        <w:t xml:space="preserve">, E. (2017). </w:t>
      </w:r>
      <w:proofErr w:type="spellStart"/>
      <w:r w:rsidR="00EB3251" w:rsidRPr="005B2E32">
        <w:rPr>
          <w:rFonts w:ascii="Times New Roman" w:hAnsi="Times New Roman" w:cs="Times New Roman"/>
        </w:rPr>
        <w:t>Does</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disclosure</w:t>
      </w:r>
      <w:proofErr w:type="spellEnd"/>
      <w:r w:rsidR="00EB3251" w:rsidRPr="005B2E32">
        <w:rPr>
          <w:rFonts w:ascii="Times New Roman" w:hAnsi="Times New Roman" w:cs="Times New Roman"/>
        </w:rPr>
        <w:t xml:space="preserve"> relate to </w:t>
      </w:r>
      <w:proofErr w:type="spellStart"/>
      <w:r w:rsidR="00EB3251" w:rsidRPr="005B2E32">
        <w:rPr>
          <w:rFonts w:ascii="Times New Roman" w:hAnsi="Times New Roman" w:cs="Times New Roman"/>
        </w:rPr>
        <w:t>environmental</w:t>
      </w:r>
      <w:proofErr w:type="spellEnd"/>
      <w:r w:rsidR="00EB3251" w:rsidRPr="005B2E32">
        <w:rPr>
          <w:rFonts w:ascii="Times New Roman" w:hAnsi="Times New Roman" w:cs="Times New Roman"/>
        </w:rPr>
        <w:t xml:space="preserve"> </w:t>
      </w:r>
      <w:proofErr w:type="gramStart"/>
      <w:r w:rsidR="00EB3251" w:rsidRPr="005B2E32">
        <w:rPr>
          <w:rFonts w:ascii="Times New Roman" w:hAnsi="Times New Roman" w:cs="Times New Roman"/>
        </w:rPr>
        <w:t>performance?</w:t>
      </w:r>
      <w:proofErr w:type="gram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Reconciling</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legitimacy</w:t>
      </w:r>
      <w:proofErr w:type="spellEnd"/>
      <w:r w:rsidR="00EB3251" w:rsidRPr="005B2E32">
        <w:rPr>
          <w:rFonts w:ascii="Times New Roman" w:hAnsi="Times New Roman" w:cs="Times New Roman"/>
        </w:rPr>
        <w:t xml:space="preserve"> </w:t>
      </w:r>
      <w:proofErr w:type="spellStart"/>
      <w:r w:rsidR="00EB3251" w:rsidRPr="005B2E32">
        <w:rPr>
          <w:rFonts w:ascii="Times New Roman" w:hAnsi="Times New Roman" w:cs="Times New Roman"/>
        </w:rPr>
        <w:t>theory</w:t>
      </w:r>
      <w:proofErr w:type="spellEnd"/>
      <w:r w:rsidR="00EB3251" w:rsidRPr="005B2E32">
        <w:rPr>
          <w:rFonts w:ascii="Times New Roman" w:hAnsi="Times New Roman" w:cs="Times New Roman"/>
        </w:rPr>
        <w:t xml:space="preserve"> and</w:t>
      </w:r>
      <w:r w:rsidRPr="005B2E32">
        <w:rPr>
          <w:rFonts w:ascii="Times New Roman" w:hAnsi="Times New Roman" w:cs="Times New Roman"/>
        </w:rPr>
        <w:t xml:space="preserve"> </w:t>
      </w:r>
      <w:proofErr w:type="spellStart"/>
      <w:r w:rsidRPr="005B2E32">
        <w:rPr>
          <w:rFonts w:ascii="Times New Roman" w:hAnsi="Times New Roman" w:cs="Times New Roman"/>
        </w:rPr>
        <w:t>voluntary</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disclosure</w:t>
      </w:r>
      <w:proofErr w:type="spellEnd"/>
      <w:r w:rsidRPr="005B2E32">
        <w:rPr>
          <w:rFonts w:ascii="Times New Roman" w:hAnsi="Times New Roman" w:cs="Times New Roman"/>
        </w:rPr>
        <w:t xml:space="preserve"> </w:t>
      </w:r>
      <w:proofErr w:type="spellStart"/>
      <w:r w:rsidRPr="005B2E32">
        <w:rPr>
          <w:rFonts w:ascii="Times New Roman" w:hAnsi="Times New Roman" w:cs="Times New Roman"/>
        </w:rPr>
        <w:t>theory</w:t>
      </w:r>
      <w:proofErr w:type="spellEnd"/>
      <w:r w:rsidRPr="005B2E32">
        <w:rPr>
          <w:rFonts w:ascii="Times New Roman" w:hAnsi="Times New Roman" w:cs="Times New Roman"/>
        </w:rPr>
        <w:t xml:space="preserve">. </w:t>
      </w:r>
      <w:r w:rsidR="00EB3251" w:rsidRPr="005B2E32">
        <w:rPr>
          <w:rFonts w:ascii="Times New Roman" w:hAnsi="Times New Roman" w:cs="Times New Roman"/>
          <w:i/>
        </w:rPr>
        <w:t>Pakistan Journal of Commerce and Social Sciences</w:t>
      </w:r>
      <w:r w:rsidRPr="005B2E32">
        <w:rPr>
          <w:rFonts w:ascii="Times New Roman" w:hAnsi="Times New Roman" w:cs="Times New Roman"/>
        </w:rPr>
        <w:t xml:space="preserve"> </w:t>
      </w:r>
      <w:proofErr w:type="gramStart"/>
      <w:r w:rsidRPr="005B2E32">
        <w:rPr>
          <w:rFonts w:ascii="Times New Roman" w:hAnsi="Times New Roman" w:cs="Times New Roman"/>
        </w:rPr>
        <w:t>11:</w:t>
      </w:r>
      <w:proofErr w:type="gramEnd"/>
      <w:r w:rsidRPr="005B2E32">
        <w:rPr>
          <w:rFonts w:ascii="Times New Roman" w:hAnsi="Times New Roman" w:cs="Times New Roman"/>
        </w:rPr>
        <w:t xml:space="preserve"> </w:t>
      </w:r>
      <w:r w:rsidR="00EB3251" w:rsidRPr="005B2E32">
        <w:rPr>
          <w:rFonts w:ascii="Times New Roman" w:hAnsi="Times New Roman" w:cs="Times New Roman"/>
        </w:rPr>
        <w:t>1134-1152.</w:t>
      </w:r>
    </w:p>
    <w:p w:rsidR="00EB3251" w:rsidRPr="005B2E32" w:rsidRDefault="00EB3251" w:rsidP="005B2E32">
      <w:pPr>
        <w:spacing w:line="480" w:lineRule="auto"/>
        <w:jc w:val="both"/>
        <w:rPr>
          <w:rFonts w:ascii="Times New Roman" w:hAnsi="Times New Roman" w:cs="Times New Roman"/>
        </w:rPr>
      </w:pPr>
    </w:p>
    <w:p w:rsidR="009933EC" w:rsidRPr="005B2E32" w:rsidRDefault="009933EC" w:rsidP="005B2E32">
      <w:pPr>
        <w:jc w:val="both"/>
        <w:rPr>
          <w:rFonts w:ascii="Times New Roman" w:hAnsi="Times New Roman" w:cs="Times New Roman"/>
        </w:rPr>
      </w:pPr>
    </w:p>
    <w:sectPr w:rsidR="009933EC" w:rsidRPr="005B2E3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CD6" w:rsidRDefault="005E6CD6" w:rsidP="00EB3251">
      <w:pPr>
        <w:spacing w:after="0" w:line="240" w:lineRule="auto"/>
      </w:pPr>
      <w:r>
        <w:separator/>
      </w:r>
    </w:p>
  </w:endnote>
  <w:endnote w:type="continuationSeparator" w:id="0">
    <w:p w:rsidR="005E6CD6" w:rsidRDefault="005E6CD6" w:rsidP="00EB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5922"/>
      <w:docPartObj>
        <w:docPartGallery w:val="Page Numbers (Bottom of Page)"/>
        <w:docPartUnique/>
      </w:docPartObj>
    </w:sdtPr>
    <w:sdtContent>
      <w:p w:rsidR="003C400A" w:rsidRDefault="003C400A">
        <w:pPr>
          <w:pStyle w:val="Pieddepage"/>
          <w:jc w:val="center"/>
        </w:pPr>
        <w:r>
          <w:fldChar w:fldCharType="begin"/>
        </w:r>
        <w:r>
          <w:instrText>PAGE   \* MERGEFORMAT</w:instrText>
        </w:r>
        <w:r>
          <w:fldChar w:fldCharType="separate"/>
        </w:r>
        <w:r w:rsidR="001238DD">
          <w:rPr>
            <w:noProof/>
          </w:rPr>
          <w:t>35</w:t>
        </w:r>
        <w:r>
          <w:fldChar w:fldCharType="end"/>
        </w:r>
      </w:p>
    </w:sdtContent>
  </w:sdt>
  <w:p w:rsidR="003C400A" w:rsidRDefault="003C400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CD6" w:rsidRDefault="005E6CD6" w:rsidP="00EB3251">
      <w:pPr>
        <w:spacing w:after="0" w:line="240" w:lineRule="auto"/>
      </w:pPr>
      <w:r>
        <w:separator/>
      </w:r>
    </w:p>
  </w:footnote>
  <w:footnote w:type="continuationSeparator" w:id="0">
    <w:p w:rsidR="005E6CD6" w:rsidRDefault="005E6CD6" w:rsidP="00EB3251">
      <w:pPr>
        <w:spacing w:after="0" w:line="240" w:lineRule="auto"/>
      </w:pPr>
      <w:r>
        <w:continuationSeparator/>
      </w:r>
    </w:p>
  </w:footnote>
  <w:footnote w:id="1">
    <w:p w:rsidR="003C400A" w:rsidRPr="005E2186" w:rsidRDefault="003C400A" w:rsidP="00EB3251">
      <w:pPr>
        <w:pStyle w:val="Notedebasdepage"/>
        <w:rPr>
          <w:rFonts w:ascii="Times New Roman" w:hAnsi="Times New Roman" w:cs="Times New Roman"/>
          <w:sz w:val="18"/>
          <w:szCs w:val="18"/>
        </w:rPr>
      </w:pPr>
      <w:r>
        <w:rPr>
          <w:rStyle w:val="Appelnotedebasdep"/>
        </w:rPr>
        <w:footnoteRef/>
      </w:r>
      <w:r>
        <w:t> </w:t>
      </w:r>
      <w:r w:rsidRPr="005E2186">
        <w:rPr>
          <w:rFonts w:ascii="Times New Roman" w:hAnsi="Times New Roman" w:cs="Times New Roman"/>
          <w:sz w:val="18"/>
          <w:szCs w:val="18"/>
        </w:rPr>
        <w:t xml:space="preserve">Liens vers les rapports : </w:t>
      </w:r>
      <w:hyperlink r:id="rId1" w:history="1">
        <w:r w:rsidRPr="005E2186">
          <w:rPr>
            <w:rStyle w:val="Lienhypertexte"/>
            <w:rFonts w:ascii="Times New Roman" w:hAnsi="Times New Roman" w:cs="Times New Roman"/>
            <w:sz w:val="18"/>
            <w:szCs w:val="18"/>
          </w:rPr>
          <w:t>https://www.globalwitness.org/en/campaigns/oil-gas-and-mining/overexposed/</w:t>
        </w:r>
      </w:hyperlink>
      <w:r w:rsidRPr="005E2186">
        <w:rPr>
          <w:rFonts w:ascii="Times New Roman" w:hAnsi="Times New Roman" w:cs="Times New Roman"/>
          <w:sz w:val="18"/>
          <w:szCs w:val="18"/>
        </w:rPr>
        <w:t xml:space="preserve"> ; </w:t>
      </w:r>
      <w:hyperlink r:id="rId2" w:history="1">
        <w:r w:rsidRPr="005E2186">
          <w:rPr>
            <w:rStyle w:val="Lienhypertexte"/>
            <w:rFonts w:ascii="Times New Roman" w:hAnsi="Times New Roman" w:cs="Times New Roman"/>
            <w:sz w:val="18"/>
            <w:szCs w:val="18"/>
          </w:rPr>
          <w:t>https://carbontracker.org/reports/how-to-waste-over-half-a-trillion-dollars/</w:t>
        </w:r>
      </w:hyperlink>
      <w:r w:rsidRPr="005E2186">
        <w:rPr>
          <w:rFonts w:ascii="Times New Roman" w:hAnsi="Times New Roman" w:cs="Times New Roman"/>
          <w:sz w:val="18"/>
          <w:szCs w:val="18"/>
        </w:rPr>
        <w:t xml:space="preserve">. </w:t>
      </w:r>
    </w:p>
  </w:footnote>
  <w:footnote w:id="2">
    <w:p w:rsidR="003C400A" w:rsidRPr="00941CF6" w:rsidRDefault="003C400A" w:rsidP="00EB3251">
      <w:pPr>
        <w:pStyle w:val="Notedebasdepage"/>
        <w:jc w:val="both"/>
        <w:rPr>
          <w:sz w:val="18"/>
          <w:szCs w:val="18"/>
        </w:rPr>
      </w:pPr>
      <w:r>
        <w:rPr>
          <w:rStyle w:val="Appelnotedebasdep"/>
        </w:rPr>
        <w:footnoteRef/>
      </w:r>
      <w:r>
        <w:t> </w:t>
      </w:r>
      <w:r w:rsidRPr="00941CF6">
        <w:rPr>
          <w:rFonts w:ascii="Times New Roman" w:hAnsi="Times New Roman" w:cs="Times New Roman"/>
          <w:sz w:val="18"/>
          <w:szCs w:val="18"/>
        </w:rPr>
        <w:t>Aux initiatives s’ajoutent l’émergence d’acteurs engagés dans le « verdissement » du secteur (</w:t>
      </w:r>
      <w:r w:rsidRPr="00B05B6C">
        <w:rPr>
          <w:rFonts w:ascii="Times New Roman" w:eastAsia="Times New Roman" w:hAnsi="Times New Roman" w:cs="Times New Roman"/>
          <w:bCs/>
          <w:i/>
          <w:kern w:val="36"/>
          <w:sz w:val="18"/>
          <w:szCs w:val="18"/>
          <w:lang w:eastAsia="fr-FR"/>
        </w:rPr>
        <w:t>Finance Watch </w:t>
      </w:r>
      <w:r w:rsidRPr="00941CF6">
        <w:rPr>
          <w:rFonts w:ascii="Times New Roman" w:eastAsia="Times New Roman" w:hAnsi="Times New Roman" w:cs="Times New Roman"/>
          <w:bCs/>
          <w:kern w:val="36"/>
          <w:sz w:val="18"/>
          <w:szCs w:val="18"/>
          <w:lang w:eastAsia="fr-FR"/>
        </w:rPr>
        <w:t xml:space="preserve">; </w:t>
      </w:r>
      <w:proofErr w:type="spellStart"/>
      <w:r w:rsidRPr="00B05B6C">
        <w:rPr>
          <w:rFonts w:ascii="Times New Roman" w:eastAsia="Times New Roman" w:hAnsi="Times New Roman" w:cs="Times New Roman"/>
          <w:bCs/>
          <w:i/>
          <w:kern w:val="36"/>
          <w:sz w:val="18"/>
          <w:szCs w:val="18"/>
          <w:lang w:eastAsia="fr-FR"/>
        </w:rPr>
        <w:t>BankTrack</w:t>
      </w:r>
      <w:proofErr w:type="spellEnd"/>
      <w:r w:rsidRPr="00941CF6">
        <w:rPr>
          <w:rFonts w:ascii="Times New Roman" w:eastAsia="Times New Roman" w:hAnsi="Times New Roman" w:cs="Times New Roman"/>
          <w:bCs/>
          <w:kern w:val="36"/>
          <w:sz w:val="18"/>
          <w:szCs w:val="18"/>
          <w:lang w:eastAsia="fr-FR"/>
        </w:rPr>
        <w:t xml:space="preserve"> ; </w:t>
      </w:r>
      <w:proofErr w:type="spellStart"/>
      <w:r w:rsidRPr="00B05B6C">
        <w:rPr>
          <w:rFonts w:ascii="Times New Roman" w:eastAsia="Times New Roman" w:hAnsi="Times New Roman" w:cs="Times New Roman"/>
          <w:bCs/>
          <w:i/>
          <w:kern w:val="36"/>
          <w:sz w:val="18"/>
          <w:szCs w:val="18"/>
          <w:lang w:eastAsia="fr-FR"/>
        </w:rPr>
        <w:t>Reclaim</w:t>
      </w:r>
      <w:proofErr w:type="spellEnd"/>
      <w:r w:rsidRPr="00B05B6C">
        <w:rPr>
          <w:rFonts w:ascii="Times New Roman" w:eastAsia="Times New Roman" w:hAnsi="Times New Roman" w:cs="Times New Roman"/>
          <w:bCs/>
          <w:i/>
          <w:kern w:val="36"/>
          <w:sz w:val="18"/>
          <w:szCs w:val="18"/>
          <w:lang w:eastAsia="fr-FR"/>
        </w:rPr>
        <w:t xml:space="preserve"> Finance </w:t>
      </w:r>
      <w:r w:rsidRPr="00941CF6">
        <w:rPr>
          <w:rFonts w:ascii="Times New Roman" w:eastAsia="Times New Roman" w:hAnsi="Times New Roman" w:cs="Times New Roman"/>
          <w:bCs/>
          <w:kern w:val="36"/>
          <w:sz w:val="18"/>
          <w:szCs w:val="18"/>
          <w:lang w:eastAsia="fr-FR"/>
        </w:rPr>
        <w:t xml:space="preserve">; </w:t>
      </w:r>
      <w:r w:rsidRPr="00B05B6C">
        <w:rPr>
          <w:rFonts w:ascii="Times New Roman" w:eastAsia="Times New Roman" w:hAnsi="Times New Roman" w:cs="Times New Roman"/>
          <w:bCs/>
          <w:i/>
          <w:kern w:val="36"/>
          <w:sz w:val="18"/>
          <w:szCs w:val="18"/>
          <w:lang w:eastAsia="fr-FR"/>
        </w:rPr>
        <w:t xml:space="preserve">The </w:t>
      </w:r>
      <w:proofErr w:type="spellStart"/>
      <w:r w:rsidRPr="00B05B6C">
        <w:rPr>
          <w:rFonts w:ascii="Times New Roman" w:eastAsia="Times New Roman" w:hAnsi="Times New Roman" w:cs="Times New Roman"/>
          <w:bCs/>
          <w:i/>
          <w:kern w:val="36"/>
          <w:sz w:val="18"/>
          <w:szCs w:val="18"/>
          <w:lang w:eastAsia="fr-FR"/>
        </w:rPr>
        <w:t>Carbon</w:t>
      </w:r>
      <w:proofErr w:type="spellEnd"/>
      <w:r w:rsidRPr="00B05B6C">
        <w:rPr>
          <w:rFonts w:ascii="Times New Roman" w:eastAsia="Times New Roman" w:hAnsi="Times New Roman" w:cs="Times New Roman"/>
          <w:bCs/>
          <w:i/>
          <w:kern w:val="36"/>
          <w:sz w:val="18"/>
          <w:szCs w:val="18"/>
          <w:lang w:eastAsia="fr-FR"/>
        </w:rPr>
        <w:t xml:space="preserve"> </w:t>
      </w:r>
      <w:proofErr w:type="spellStart"/>
      <w:r w:rsidRPr="00B05B6C">
        <w:rPr>
          <w:rFonts w:ascii="Times New Roman" w:eastAsia="Times New Roman" w:hAnsi="Times New Roman" w:cs="Times New Roman"/>
          <w:bCs/>
          <w:i/>
          <w:kern w:val="36"/>
          <w:sz w:val="18"/>
          <w:szCs w:val="18"/>
          <w:lang w:eastAsia="fr-FR"/>
        </w:rPr>
        <w:t>Tracker</w:t>
      </w:r>
      <w:proofErr w:type="spellEnd"/>
      <w:r w:rsidRPr="00B05B6C">
        <w:rPr>
          <w:rFonts w:ascii="Times New Roman" w:eastAsia="Times New Roman" w:hAnsi="Times New Roman" w:cs="Times New Roman"/>
          <w:bCs/>
          <w:i/>
          <w:kern w:val="36"/>
          <w:sz w:val="18"/>
          <w:szCs w:val="18"/>
          <w:lang w:eastAsia="fr-FR"/>
        </w:rPr>
        <w:t xml:space="preserve"> Initiative </w:t>
      </w:r>
      <w:r w:rsidRPr="00941CF6">
        <w:rPr>
          <w:rFonts w:ascii="Times New Roman" w:eastAsia="Times New Roman" w:hAnsi="Times New Roman" w:cs="Times New Roman"/>
          <w:bCs/>
          <w:kern w:val="36"/>
          <w:sz w:val="18"/>
          <w:szCs w:val="18"/>
          <w:lang w:eastAsia="fr-FR"/>
        </w:rPr>
        <w:t xml:space="preserve">; </w:t>
      </w:r>
      <w:proofErr w:type="spellStart"/>
      <w:r w:rsidRPr="00B05B6C">
        <w:rPr>
          <w:rFonts w:ascii="Times New Roman" w:eastAsia="Times New Roman" w:hAnsi="Times New Roman" w:cs="Times New Roman"/>
          <w:bCs/>
          <w:i/>
          <w:kern w:val="36"/>
          <w:sz w:val="18"/>
          <w:szCs w:val="18"/>
          <w:lang w:eastAsia="fr-FR"/>
        </w:rPr>
        <w:t>Urgewald</w:t>
      </w:r>
      <w:proofErr w:type="spellEnd"/>
      <w:r w:rsidRPr="00941CF6">
        <w:rPr>
          <w:rFonts w:ascii="Times New Roman" w:eastAsia="Times New Roman" w:hAnsi="Times New Roman" w:cs="Times New Roman"/>
          <w:bCs/>
          <w:kern w:val="36"/>
          <w:sz w:val="18"/>
          <w:szCs w:val="18"/>
          <w:lang w:eastAsia="fr-FR"/>
        </w:rPr>
        <w:t xml:space="preserve"> ; </w:t>
      </w:r>
      <w:r w:rsidRPr="00B05B6C">
        <w:rPr>
          <w:rFonts w:ascii="Times New Roman" w:eastAsia="Times New Roman" w:hAnsi="Times New Roman" w:cs="Times New Roman"/>
          <w:bCs/>
          <w:i/>
          <w:kern w:val="36"/>
          <w:sz w:val="18"/>
          <w:szCs w:val="18"/>
          <w:lang w:eastAsia="fr-FR"/>
        </w:rPr>
        <w:t>I</w:t>
      </w:r>
      <w:r w:rsidR="00B05B6C">
        <w:rPr>
          <w:rFonts w:ascii="Times New Roman" w:eastAsia="Times New Roman" w:hAnsi="Times New Roman" w:cs="Times New Roman"/>
          <w:bCs/>
          <w:i/>
          <w:kern w:val="36"/>
          <w:sz w:val="18"/>
          <w:szCs w:val="18"/>
          <w:lang w:eastAsia="fr-FR"/>
        </w:rPr>
        <w:t xml:space="preserve">nstitute for </w:t>
      </w:r>
      <w:proofErr w:type="spellStart"/>
      <w:r w:rsidR="00B05B6C">
        <w:rPr>
          <w:rFonts w:ascii="Times New Roman" w:eastAsia="Times New Roman" w:hAnsi="Times New Roman" w:cs="Times New Roman"/>
          <w:bCs/>
          <w:i/>
          <w:kern w:val="36"/>
          <w:sz w:val="18"/>
          <w:szCs w:val="18"/>
          <w:lang w:eastAsia="fr-FR"/>
        </w:rPr>
        <w:t>Climate</w:t>
      </w:r>
      <w:proofErr w:type="spellEnd"/>
      <w:r w:rsidR="00B05B6C">
        <w:rPr>
          <w:rFonts w:ascii="Times New Roman" w:eastAsia="Times New Roman" w:hAnsi="Times New Roman" w:cs="Times New Roman"/>
          <w:bCs/>
          <w:i/>
          <w:kern w:val="36"/>
          <w:sz w:val="18"/>
          <w:szCs w:val="18"/>
          <w:lang w:eastAsia="fr-FR"/>
        </w:rPr>
        <w:t xml:space="preserve"> </w:t>
      </w:r>
      <w:proofErr w:type="spellStart"/>
      <w:r w:rsidR="00B05B6C">
        <w:rPr>
          <w:rFonts w:ascii="Times New Roman" w:eastAsia="Times New Roman" w:hAnsi="Times New Roman" w:cs="Times New Roman"/>
          <w:bCs/>
          <w:i/>
          <w:kern w:val="36"/>
          <w:sz w:val="18"/>
          <w:szCs w:val="18"/>
          <w:lang w:eastAsia="fr-FR"/>
        </w:rPr>
        <w:t>Economics</w:t>
      </w:r>
      <w:proofErr w:type="spellEnd"/>
      <w:r>
        <w:rPr>
          <w:rFonts w:ascii="Times New Roman" w:eastAsia="Times New Roman" w:hAnsi="Times New Roman" w:cs="Times New Roman"/>
          <w:bCs/>
          <w:kern w:val="36"/>
          <w:sz w:val="18"/>
          <w:szCs w:val="18"/>
          <w:lang w:eastAsia="fr-FR"/>
        </w:rPr>
        <w:t xml:space="preserve"> </w:t>
      </w:r>
      <w:r w:rsidRPr="00941CF6">
        <w:rPr>
          <w:rFonts w:ascii="Times New Roman" w:eastAsia="Times New Roman" w:hAnsi="Times New Roman" w:cs="Times New Roman"/>
          <w:bCs/>
          <w:kern w:val="36"/>
          <w:sz w:val="18"/>
          <w:szCs w:val="18"/>
          <w:lang w:eastAsia="fr-FR"/>
        </w:rPr>
        <w:t>I4CE</w:t>
      </w:r>
      <w:r>
        <w:rPr>
          <w:rFonts w:ascii="Times New Roman" w:eastAsia="Times New Roman" w:hAnsi="Times New Roman" w:cs="Times New Roman"/>
          <w:bCs/>
          <w:kern w:val="36"/>
          <w:sz w:val="18"/>
          <w:szCs w:val="18"/>
          <w:lang w:eastAsia="fr-FR"/>
        </w:rPr>
        <w:t xml:space="preserve"> ; </w:t>
      </w:r>
      <w:r w:rsidRPr="00B05B6C">
        <w:rPr>
          <w:rFonts w:ascii="Times New Roman" w:eastAsia="Times New Roman" w:hAnsi="Times New Roman" w:cs="Times New Roman"/>
          <w:bCs/>
          <w:i/>
          <w:kern w:val="36"/>
          <w:sz w:val="18"/>
          <w:szCs w:val="18"/>
          <w:lang w:eastAsia="fr-FR"/>
        </w:rPr>
        <w:t xml:space="preserve">World </w:t>
      </w:r>
      <w:proofErr w:type="spellStart"/>
      <w:r w:rsidRPr="00B05B6C">
        <w:rPr>
          <w:rFonts w:ascii="Times New Roman" w:eastAsia="Times New Roman" w:hAnsi="Times New Roman" w:cs="Times New Roman"/>
          <w:bCs/>
          <w:i/>
          <w:kern w:val="36"/>
          <w:sz w:val="18"/>
          <w:szCs w:val="18"/>
          <w:lang w:eastAsia="fr-FR"/>
        </w:rPr>
        <w:t>Resources</w:t>
      </w:r>
      <w:proofErr w:type="spellEnd"/>
      <w:r w:rsidRPr="00B05B6C">
        <w:rPr>
          <w:rFonts w:ascii="Times New Roman" w:eastAsia="Times New Roman" w:hAnsi="Times New Roman" w:cs="Times New Roman"/>
          <w:bCs/>
          <w:i/>
          <w:kern w:val="36"/>
          <w:sz w:val="18"/>
          <w:szCs w:val="18"/>
          <w:lang w:eastAsia="fr-FR"/>
        </w:rPr>
        <w:t xml:space="preserve"> Institute</w:t>
      </w:r>
      <w:r>
        <w:rPr>
          <w:rFonts w:ascii="Times New Roman" w:eastAsia="Times New Roman" w:hAnsi="Times New Roman" w:cs="Times New Roman"/>
          <w:bCs/>
          <w:kern w:val="36"/>
          <w:sz w:val="18"/>
          <w:szCs w:val="18"/>
          <w:lang w:eastAsia="fr-FR"/>
        </w:rPr>
        <w:t xml:space="preserve"> </w:t>
      </w:r>
      <w:r w:rsidRPr="00941CF6">
        <w:rPr>
          <w:rFonts w:ascii="Times New Roman" w:eastAsia="Times New Roman" w:hAnsi="Times New Roman" w:cs="Times New Roman"/>
          <w:bCs/>
          <w:kern w:val="36"/>
          <w:sz w:val="18"/>
          <w:szCs w:val="18"/>
          <w:lang w:eastAsia="fr-FR"/>
        </w:rPr>
        <w:t>WRI</w:t>
      </w:r>
      <w:r w:rsidR="00B05B6C">
        <w:rPr>
          <w:rFonts w:ascii="Times New Roman" w:eastAsia="Times New Roman" w:hAnsi="Times New Roman" w:cs="Times New Roman"/>
          <w:bCs/>
          <w:kern w:val="36"/>
          <w:sz w:val="18"/>
          <w:szCs w:val="18"/>
          <w:lang w:eastAsia="fr-FR"/>
        </w:rPr>
        <w:t xml:space="preserve"> ; </w:t>
      </w:r>
      <w:r w:rsidR="00B05B6C" w:rsidRPr="00B05B6C">
        <w:rPr>
          <w:rFonts w:ascii="Times New Roman" w:eastAsia="Times New Roman" w:hAnsi="Times New Roman" w:cs="Times New Roman"/>
          <w:bCs/>
          <w:i/>
          <w:kern w:val="36"/>
          <w:sz w:val="18"/>
          <w:szCs w:val="18"/>
          <w:lang w:eastAsia="fr-FR"/>
        </w:rPr>
        <w:t xml:space="preserve">2° </w:t>
      </w:r>
      <w:proofErr w:type="spellStart"/>
      <w:r w:rsidR="00B05B6C" w:rsidRPr="00B05B6C">
        <w:rPr>
          <w:rFonts w:ascii="Times New Roman" w:eastAsia="Times New Roman" w:hAnsi="Times New Roman" w:cs="Times New Roman"/>
          <w:bCs/>
          <w:i/>
          <w:kern w:val="36"/>
          <w:sz w:val="18"/>
          <w:szCs w:val="18"/>
          <w:lang w:eastAsia="fr-FR"/>
        </w:rPr>
        <w:t>Investing</w:t>
      </w:r>
      <w:proofErr w:type="spellEnd"/>
      <w:r w:rsidR="00B05B6C" w:rsidRPr="00B05B6C">
        <w:rPr>
          <w:rFonts w:ascii="Times New Roman" w:eastAsia="Times New Roman" w:hAnsi="Times New Roman" w:cs="Times New Roman"/>
          <w:bCs/>
          <w:i/>
          <w:kern w:val="36"/>
          <w:sz w:val="18"/>
          <w:szCs w:val="18"/>
          <w:lang w:eastAsia="fr-FR"/>
        </w:rPr>
        <w:t xml:space="preserve"> Initiative</w:t>
      </w:r>
      <w:r>
        <w:rPr>
          <w:rFonts w:ascii="Times New Roman" w:eastAsia="Times New Roman" w:hAnsi="Times New Roman" w:cs="Times New Roman"/>
          <w:bCs/>
          <w:kern w:val="36"/>
          <w:sz w:val="18"/>
          <w:szCs w:val="18"/>
          <w:lang w:eastAsia="fr-FR"/>
        </w:rPr>
        <w:t xml:space="preserve"> </w:t>
      </w:r>
      <w:r w:rsidRPr="00941CF6">
        <w:rPr>
          <w:rFonts w:ascii="Times New Roman" w:eastAsia="Times New Roman" w:hAnsi="Times New Roman" w:cs="Times New Roman"/>
          <w:bCs/>
          <w:kern w:val="36"/>
          <w:sz w:val="18"/>
          <w:szCs w:val="18"/>
          <w:lang w:eastAsia="fr-FR"/>
        </w:rPr>
        <w:t>2DII …) et la création de scores, indices, notes pour évaluer les performances sociétales et environnementales, spécifiques ou non au secteur (</w:t>
      </w:r>
      <w:r w:rsidRPr="00B05B6C">
        <w:rPr>
          <w:rFonts w:ascii="Times New Roman" w:eastAsia="Times New Roman" w:hAnsi="Times New Roman" w:cs="Times New Roman"/>
          <w:bCs/>
          <w:i/>
          <w:kern w:val="36"/>
          <w:sz w:val="18"/>
          <w:szCs w:val="18"/>
          <w:lang w:eastAsia="fr-FR"/>
        </w:rPr>
        <w:t>Thomson Reuters</w:t>
      </w:r>
      <w:r w:rsidRPr="00941CF6">
        <w:rPr>
          <w:rFonts w:ascii="Times New Roman" w:eastAsia="Times New Roman" w:hAnsi="Times New Roman" w:cs="Times New Roman"/>
          <w:bCs/>
          <w:kern w:val="36"/>
          <w:sz w:val="18"/>
          <w:szCs w:val="18"/>
          <w:lang w:eastAsia="fr-FR"/>
        </w:rPr>
        <w:t xml:space="preserve"> </w:t>
      </w:r>
      <w:r w:rsidRPr="00B05B6C">
        <w:rPr>
          <w:rFonts w:ascii="Times New Roman" w:eastAsia="Times New Roman" w:hAnsi="Times New Roman" w:cs="Times New Roman"/>
          <w:bCs/>
          <w:i/>
          <w:kern w:val="36"/>
          <w:sz w:val="18"/>
          <w:szCs w:val="18"/>
          <w:lang w:eastAsia="fr-FR"/>
        </w:rPr>
        <w:t>ESG score</w:t>
      </w:r>
      <w:r w:rsidRPr="00941CF6">
        <w:rPr>
          <w:rFonts w:ascii="Times New Roman" w:eastAsia="Times New Roman" w:hAnsi="Times New Roman" w:cs="Times New Roman"/>
          <w:bCs/>
          <w:kern w:val="36"/>
          <w:sz w:val="18"/>
          <w:szCs w:val="18"/>
          <w:lang w:eastAsia="fr-FR"/>
        </w:rPr>
        <w:t xml:space="preserve"> ; </w:t>
      </w:r>
      <w:proofErr w:type="spellStart"/>
      <w:r w:rsidRPr="00B05B6C">
        <w:rPr>
          <w:rFonts w:ascii="Times New Roman" w:eastAsia="Times New Roman" w:hAnsi="Times New Roman" w:cs="Times New Roman"/>
          <w:bCs/>
          <w:i/>
          <w:kern w:val="36"/>
          <w:sz w:val="18"/>
          <w:szCs w:val="18"/>
          <w:lang w:eastAsia="fr-FR"/>
        </w:rPr>
        <w:t>Datastream</w:t>
      </w:r>
      <w:proofErr w:type="spellEnd"/>
      <w:r w:rsidRPr="00B05B6C">
        <w:rPr>
          <w:rFonts w:ascii="Times New Roman" w:eastAsia="Times New Roman" w:hAnsi="Times New Roman" w:cs="Times New Roman"/>
          <w:bCs/>
          <w:i/>
          <w:kern w:val="36"/>
          <w:sz w:val="18"/>
          <w:szCs w:val="18"/>
          <w:lang w:eastAsia="fr-FR"/>
        </w:rPr>
        <w:t xml:space="preserve"> Asset4</w:t>
      </w:r>
      <w:r w:rsidRPr="00941CF6">
        <w:rPr>
          <w:rFonts w:ascii="Times New Roman" w:eastAsia="Times New Roman" w:hAnsi="Times New Roman" w:cs="Times New Roman"/>
          <w:bCs/>
          <w:kern w:val="36"/>
          <w:sz w:val="18"/>
          <w:szCs w:val="18"/>
          <w:lang w:eastAsia="fr-FR"/>
        </w:rPr>
        <w:t xml:space="preserve"> ; </w:t>
      </w:r>
      <w:proofErr w:type="spellStart"/>
      <w:r w:rsidRPr="00B05B6C">
        <w:rPr>
          <w:rFonts w:ascii="Times New Roman" w:eastAsia="Times New Roman" w:hAnsi="Times New Roman" w:cs="Times New Roman"/>
          <w:bCs/>
          <w:i/>
          <w:kern w:val="36"/>
          <w:sz w:val="18"/>
          <w:szCs w:val="18"/>
          <w:lang w:eastAsia="fr-FR"/>
        </w:rPr>
        <w:t>Sustainalytics</w:t>
      </w:r>
      <w:proofErr w:type="spellEnd"/>
      <w:r w:rsidRPr="00B05B6C">
        <w:rPr>
          <w:rFonts w:ascii="Times New Roman" w:eastAsia="Times New Roman" w:hAnsi="Times New Roman" w:cs="Times New Roman"/>
          <w:bCs/>
          <w:i/>
          <w:kern w:val="36"/>
          <w:sz w:val="18"/>
          <w:szCs w:val="18"/>
          <w:lang w:eastAsia="fr-FR"/>
        </w:rPr>
        <w:t xml:space="preserve"> ESG </w:t>
      </w:r>
      <w:proofErr w:type="spellStart"/>
      <w:r w:rsidRPr="00B05B6C">
        <w:rPr>
          <w:rFonts w:ascii="Times New Roman" w:eastAsia="Times New Roman" w:hAnsi="Times New Roman" w:cs="Times New Roman"/>
          <w:bCs/>
          <w:i/>
          <w:kern w:val="36"/>
          <w:sz w:val="18"/>
          <w:szCs w:val="18"/>
          <w:lang w:eastAsia="fr-FR"/>
        </w:rPr>
        <w:t>ranking</w:t>
      </w:r>
      <w:proofErr w:type="spellEnd"/>
      <w:r w:rsidRPr="00941CF6">
        <w:rPr>
          <w:rFonts w:ascii="Times New Roman" w:eastAsia="Times New Roman" w:hAnsi="Times New Roman" w:cs="Times New Roman"/>
          <w:bCs/>
          <w:kern w:val="36"/>
          <w:sz w:val="18"/>
          <w:szCs w:val="18"/>
          <w:lang w:eastAsia="fr-FR"/>
        </w:rPr>
        <w:t xml:space="preserve"> ; </w:t>
      </w:r>
      <w:r w:rsidRPr="00B05B6C">
        <w:rPr>
          <w:rFonts w:ascii="Times New Roman" w:eastAsia="Times New Roman" w:hAnsi="Times New Roman" w:cs="Times New Roman"/>
          <w:bCs/>
          <w:i/>
          <w:kern w:val="36"/>
          <w:sz w:val="18"/>
          <w:szCs w:val="18"/>
          <w:lang w:eastAsia="fr-FR"/>
        </w:rPr>
        <w:t>ISS ES</w:t>
      </w:r>
      <w:r w:rsidRPr="00941CF6">
        <w:rPr>
          <w:rFonts w:ascii="Times New Roman" w:eastAsia="Times New Roman" w:hAnsi="Times New Roman" w:cs="Times New Roman"/>
          <w:bCs/>
          <w:kern w:val="36"/>
          <w:sz w:val="18"/>
          <w:szCs w:val="18"/>
          <w:lang w:eastAsia="fr-FR"/>
        </w:rPr>
        <w:t xml:space="preserve">G ; </w:t>
      </w:r>
      <w:r w:rsidRPr="00B05B6C">
        <w:rPr>
          <w:rFonts w:ascii="Times New Roman" w:eastAsia="Times New Roman" w:hAnsi="Times New Roman" w:cs="Times New Roman"/>
          <w:bCs/>
          <w:i/>
          <w:kern w:val="36"/>
          <w:sz w:val="18"/>
          <w:szCs w:val="18"/>
          <w:lang w:eastAsia="fr-FR"/>
        </w:rPr>
        <w:t>CSRHUB</w:t>
      </w:r>
      <w:r w:rsidRPr="00941CF6">
        <w:rPr>
          <w:rFonts w:ascii="Times New Roman" w:eastAsia="Times New Roman" w:hAnsi="Times New Roman" w:cs="Times New Roman"/>
          <w:bCs/>
          <w:kern w:val="36"/>
          <w:sz w:val="18"/>
          <w:szCs w:val="18"/>
          <w:lang w:eastAsia="fr-FR"/>
        </w:rPr>
        <w:t xml:space="preserve"> ; </w:t>
      </w:r>
      <w:r w:rsidRPr="00B05B6C">
        <w:rPr>
          <w:rFonts w:ascii="Times New Roman" w:eastAsia="Times New Roman" w:hAnsi="Times New Roman" w:cs="Times New Roman"/>
          <w:bCs/>
          <w:i/>
          <w:kern w:val="36"/>
          <w:sz w:val="18"/>
          <w:szCs w:val="18"/>
          <w:lang w:eastAsia="fr-FR"/>
        </w:rPr>
        <w:t xml:space="preserve">Newsweek Green </w:t>
      </w:r>
      <w:proofErr w:type="spellStart"/>
      <w:r w:rsidRPr="00B05B6C">
        <w:rPr>
          <w:rFonts w:ascii="Times New Roman" w:eastAsia="Times New Roman" w:hAnsi="Times New Roman" w:cs="Times New Roman"/>
          <w:bCs/>
          <w:i/>
          <w:kern w:val="36"/>
          <w:sz w:val="18"/>
          <w:szCs w:val="18"/>
          <w:lang w:eastAsia="fr-FR"/>
        </w:rPr>
        <w:t>Rankings</w:t>
      </w:r>
      <w:proofErr w:type="spellEnd"/>
      <w:r w:rsidRPr="00941CF6">
        <w:rPr>
          <w:rFonts w:ascii="Times New Roman" w:eastAsia="Times New Roman" w:hAnsi="Times New Roman" w:cs="Times New Roman"/>
          <w:bCs/>
          <w:kern w:val="36"/>
          <w:sz w:val="18"/>
          <w:szCs w:val="18"/>
          <w:lang w:eastAsia="fr-FR"/>
        </w:rPr>
        <w:t> ;</w:t>
      </w:r>
      <w:r w:rsidRPr="00B05B6C">
        <w:rPr>
          <w:rFonts w:ascii="Times New Roman" w:eastAsia="Times New Roman" w:hAnsi="Times New Roman" w:cs="Times New Roman"/>
          <w:bCs/>
          <w:i/>
          <w:kern w:val="36"/>
          <w:sz w:val="18"/>
          <w:szCs w:val="18"/>
          <w:lang w:eastAsia="fr-FR"/>
        </w:rPr>
        <w:t xml:space="preserve"> M</w:t>
      </w:r>
      <w:r w:rsidR="00B05B6C" w:rsidRPr="00B05B6C">
        <w:rPr>
          <w:rFonts w:ascii="Times New Roman" w:eastAsia="Times New Roman" w:hAnsi="Times New Roman" w:cs="Times New Roman"/>
          <w:bCs/>
          <w:i/>
          <w:kern w:val="36"/>
          <w:sz w:val="18"/>
          <w:szCs w:val="18"/>
          <w:lang w:eastAsia="fr-FR"/>
        </w:rPr>
        <w:t>SCI</w:t>
      </w:r>
      <w:r w:rsidR="00B05B6C">
        <w:rPr>
          <w:rFonts w:ascii="Times New Roman" w:eastAsia="Times New Roman" w:hAnsi="Times New Roman" w:cs="Times New Roman"/>
          <w:bCs/>
          <w:kern w:val="36"/>
          <w:sz w:val="18"/>
          <w:szCs w:val="18"/>
          <w:lang w:eastAsia="fr-FR"/>
        </w:rPr>
        <w:t xml:space="preserve"> ; </w:t>
      </w:r>
      <w:proofErr w:type="spellStart"/>
      <w:r w:rsidR="00B05B6C" w:rsidRPr="00B05B6C">
        <w:rPr>
          <w:rFonts w:ascii="Times New Roman" w:eastAsia="Times New Roman" w:hAnsi="Times New Roman" w:cs="Times New Roman"/>
          <w:bCs/>
          <w:i/>
          <w:kern w:val="36"/>
          <w:sz w:val="18"/>
          <w:szCs w:val="18"/>
          <w:lang w:eastAsia="fr-FR"/>
        </w:rPr>
        <w:t>Carbon</w:t>
      </w:r>
      <w:proofErr w:type="spellEnd"/>
      <w:r w:rsidR="00B05B6C" w:rsidRPr="00B05B6C">
        <w:rPr>
          <w:rFonts w:ascii="Times New Roman" w:eastAsia="Times New Roman" w:hAnsi="Times New Roman" w:cs="Times New Roman"/>
          <w:bCs/>
          <w:i/>
          <w:kern w:val="36"/>
          <w:sz w:val="18"/>
          <w:szCs w:val="18"/>
          <w:lang w:eastAsia="fr-FR"/>
        </w:rPr>
        <w:t xml:space="preserve"> </w:t>
      </w:r>
      <w:proofErr w:type="spellStart"/>
      <w:r w:rsidR="00B05B6C" w:rsidRPr="00B05B6C">
        <w:rPr>
          <w:rFonts w:ascii="Times New Roman" w:eastAsia="Times New Roman" w:hAnsi="Times New Roman" w:cs="Times New Roman"/>
          <w:bCs/>
          <w:i/>
          <w:kern w:val="36"/>
          <w:sz w:val="18"/>
          <w:szCs w:val="18"/>
          <w:lang w:eastAsia="fr-FR"/>
        </w:rPr>
        <w:t>Disclosure</w:t>
      </w:r>
      <w:proofErr w:type="spellEnd"/>
      <w:r w:rsidR="00B05B6C" w:rsidRPr="00B05B6C">
        <w:rPr>
          <w:rFonts w:ascii="Times New Roman" w:eastAsia="Times New Roman" w:hAnsi="Times New Roman" w:cs="Times New Roman"/>
          <w:bCs/>
          <w:i/>
          <w:kern w:val="36"/>
          <w:sz w:val="18"/>
          <w:szCs w:val="18"/>
          <w:lang w:eastAsia="fr-FR"/>
        </w:rPr>
        <w:t xml:space="preserve"> Project</w:t>
      </w:r>
      <w:r w:rsidRPr="00941CF6">
        <w:rPr>
          <w:rFonts w:ascii="Times New Roman" w:eastAsia="Times New Roman" w:hAnsi="Times New Roman" w:cs="Times New Roman"/>
          <w:bCs/>
          <w:kern w:val="36"/>
          <w:sz w:val="18"/>
          <w:szCs w:val="18"/>
          <w:lang w:eastAsia="fr-FR"/>
        </w:rPr>
        <w:t xml:space="preserve"> CDP ; </w:t>
      </w:r>
      <w:r w:rsidRPr="00B05B6C">
        <w:rPr>
          <w:rFonts w:ascii="Times New Roman" w:eastAsia="Times New Roman" w:hAnsi="Times New Roman" w:cs="Times New Roman"/>
          <w:bCs/>
          <w:i/>
          <w:kern w:val="36"/>
          <w:sz w:val="18"/>
          <w:szCs w:val="18"/>
          <w:lang w:eastAsia="fr-FR"/>
        </w:rPr>
        <w:t>D</w:t>
      </w:r>
      <w:r w:rsidR="00B05B6C" w:rsidRPr="00B05B6C">
        <w:rPr>
          <w:rFonts w:ascii="Times New Roman" w:eastAsia="Times New Roman" w:hAnsi="Times New Roman" w:cs="Times New Roman"/>
          <w:bCs/>
          <w:i/>
          <w:kern w:val="36"/>
          <w:sz w:val="18"/>
          <w:szCs w:val="18"/>
          <w:lang w:eastAsia="fr-FR"/>
        </w:rPr>
        <w:t xml:space="preserve">ow Jones </w:t>
      </w:r>
      <w:proofErr w:type="spellStart"/>
      <w:r w:rsidR="00B05B6C" w:rsidRPr="00B05B6C">
        <w:rPr>
          <w:rFonts w:ascii="Times New Roman" w:eastAsia="Times New Roman" w:hAnsi="Times New Roman" w:cs="Times New Roman"/>
          <w:bCs/>
          <w:i/>
          <w:kern w:val="36"/>
          <w:sz w:val="18"/>
          <w:szCs w:val="18"/>
          <w:lang w:eastAsia="fr-FR"/>
        </w:rPr>
        <w:t>Sustainability</w:t>
      </w:r>
      <w:proofErr w:type="spellEnd"/>
      <w:r w:rsidR="00B05B6C">
        <w:rPr>
          <w:rFonts w:ascii="Times New Roman" w:eastAsia="Times New Roman" w:hAnsi="Times New Roman" w:cs="Times New Roman"/>
          <w:bCs/>
          <w:kern w:val="36"/>
          <w:sz w:val="18"/>
          <w:szCs w:val="18"/>
          <w:lang w:eastAsia="fr-FR"/>
        </w:rPr>
        <w:t xml:space="preserve"> </w:t>
      </w:r>
      <w:r w:rsidR="00B05B6C" w:rsidRPr="00B05B6C">
        <w:rPr>
          <w:rFonts w:ascii="Times New Roman" w:eastAsia="Times New Roman" w:hAnsi="Times New Roman" w:cs="Times New Roman"/>
          <w:bCs/>
          <w:i/>
          <w:kern w:val="36"/>
          <w:sz w:val="18"/>
          <w:szCs w:val="18"/>
          <w:lang w:eastAsia="fr-FR"/>
        </w:rPr>
        <w:t>Indices</w:t>
      </w:r>
      <w:r w:rsidRPr="00941CF6">
        <w:rPr>
          <w:rFonts w:ascii="Times New Roman" w:eastAsia="Times New Roman" w:hAnsi="Times New Roman" w:cs="Times New Roman"/>
          <w:bCs/>
          <w:kern w:val="36"/>
          <w:sz w:val="18"/>
          <w:szCs w:val="18"/>
          <w:lang w:eastAsia="fr-FR"/>
        </w:rPr>
        <w:t xml:space="preserve"> DJSI ; </w:t>
      </w:r>
      <w:r w:rsidRPr="00B05B6C">
        <w:rPr>
          <w:rFonts w:ascii="Times New Roman" w:eastAsia="Times New Roman" w:hAnsi="Times New Roman" w:cs="Times New Roman"/>
          <w:bCs/>
          <w:i/>
          <w:kern w:val="36"/>
          <w:sz w:val="18"/>
          <w:szCs w:val="18"/>
          <w:lang w:eastAsia="fr-FR"/>
        </w:rPr>
        <w:t>FTSE4Good</w:t>
      </w:r>
      <w:r w:rsidRPr="00941CF6">
        <w:rPr>
          <w:rFonts w:ascii="Times New Roman" w:eastAsia="Times New Roman" w:hAnsi="Times New Roman" w:cs="Times New Roman"/>
          <w:bCs/>
          <w:kern w:val="36"/>
          <w:sz w:val="18"/>
          <w:szCs w:val="18"/>
          <w:lang w:eastAsia="fr-FR"/>
        </w:rPr>
        <w:t xml:space="preserve"> ; </w:t>
      </w:r>
      <w:r w:rsidRPr="00B05B6C">
        <w:rPr>
          <w:rFonts w:ascii="Times New Roman" w:eastAsia="Times New Roman" w:hAnsi="Times New Roman" w:cs="Times New Roman"/>
          <w:bCs/>
          <w:i/>
          <w:kern w:val="36"/>
          <w:sz w:val="18"/>
          <w:szCs w:val="18"/>
          <w:lang w:eastAsia="fr-FR"/>
        </w:rPr>
        <w:t xml:space="preserve">S&amp;P </w:t>
      </w:r>
      <w:proofErr w:type="spellStart"/>
      <w:r w:rsidRPr="00B05B6C">
        <w:rPr>
          <w:rFonts w:ascii="Times New Roman" w:eastAsia="Times New Roman" w:hAnsi="Times New Roman" w:cs="Times New Roman"/>
          <w:bCs/>
          <w:i/>
          <w:kern w:val="36"/>
          <w:sz w:val="18"/>
          <w:szCs w:val="18"/>
          <w:lang w:eastAsia="fr-FR"/>
        </w:rPr>
        <w:t>Market</w:t>
      </w:r>
      <w:proofErr w:type="spellEnd"/>
      <w:r w:rsidRPr="00B05B6C">
        <w:rPr>
          <w:rFonts w:ascii="Times New Roman" w:eastAsia="Times New Roman" w:hAnsi="Times New Roman" w:cs="Times New Roman"/>
          <w:bCs/>
          <w:i/>
          <w:kern w:val="36"/>
          <w:sz w:val="18"/>
          <w:szCs w:val="18"/>
          <w:lang w:eastAsia="fr-FR"/>
        </w:rPr>
        <w:t xml:space="preserve"> Intelligence</w:t>
      </w:r>
      <w:r w:rsidRPr="00941CF6">
        <w:rPr>
          <w:rFonts w:ascii="Times New Roman" w:eastAsia="Times New Roman" w:hAnsi="Times New Roman" w:cs="Times New Roman"/>
          <w:bCs/>
          <w:kern w:val="36"/>
          <w:sz w:val="18"/>
          <w:szCs w:val="18"/>
          <w:lang w:eastAsia="fr-FR"/>
        </w:rPr>
        <w:t xml:space="preserve"> ; </w:t>
      </w:r>
      <w:r w:rsidRPr="00B05B6C">
        <w:rPr>
          <w:rFonts w:ascii="Times New Roman" w:eastAsia="Times New Roman" w:hAnsi="Times New Roman" w:cs="Times New Roman"/>
          <w:bCs/>
          <w:i/>
          <w:kern w:val="36"/>
          <w:sz w:val="18"/>
          <w:szCs w:val="18"/>
          <w:lang w:eastAsia="fr-FR"/>
        </w:rPr>
        <w:t>GHG Pro</w:t>
      </w:r>
      <w:r w:rsidR="00B05B6C" w:rsidRPr="00B05B6C">
        <w:rPr>
          <w:rFonts w:ascii="Times New Roman" w:eastAsia="Times New Roman" w:hAnsi="Times New Roman" w:cs="Times New Roman"/>
          <w:bCs/>
          <w:i/>
          <w:kern w:val="36"/>
          <w:sz w:val="18"/>
          <w:szCs w:val="18"/>
          <w:lang w:eastAsia="fr-FR"/>
        </w:rPr>
        <w:t>tocol</w:t>
      </w:r>
      <w:r w:rsidR="00B05B6C">
        <w:rPr>
          <w:rFonts w:ascii="Times New Roman" w:eastAsia="Times New Roman" w:hAnsi="Times New Roman" w:cs="Times New Roman"/>
          <w:bCs/>
          <w:kern w:val="36"/>
          <w:sz w:val="18"/>
          <w:szCs w:val="18"/>
          <w:lang w:eastAsia="fr-FR"/>
        </w:rPr>
        <w:t xml:space="preserve"> ; </w:t>
      </w:r>
      <w:proofErr w:type="spellStart"/>
      <w:r w:rsidR="00B05B6C" w:rsidRPr="00B05B6C">
        <w:rPr>
          <w:rFonts w:ascii="Times New Roman" w:eastAsia="Times New Roman" w:hAnsi="Times New Roman" w:cs="Times New Roman"/>
          <w:bCs/>
          <w:i/>
          <w:kern w:val="36"/>
          <w:sz w:val="18"/>
          <w:szCs w:val="18"/>
          <w:lang w:eastAsia="fr-FR"/>
        </w:rPr>
        <w:t>Carbon</w:t>
      </w:r>
      <w:proofErr w:type="spellEnd"/>
      <w:r w:rsidR="00B05B6C" w:rsidRPr="00B05B6C">
        <w:rPr>
          <w:rFonts w:ascii="Times New Roman" w:eastAsia="Times New Roman" w:hAnsi="Times New Roman" w:cs="Times New Roman"/>
          <w:bCs/>
          <w:i/>
          <w:kern w:val="36"/>
          <w:sz w:val="18"/>
          <w:szCs w:val="18"/>
          <w:lang w:eastAsia="fr-FR"/>
        </w:rPr>
        <w:t xml:space="preserve"> Impact </w:t>
      </w:r>
      <w:proofErr w:type="spellStart"/>
      <w:r w:rsidR="00B05B6C" w:rsidRPr="00B05B6C">
        <w:rPr>
          <w:rFonts w:ascii="Times New Roman" w:eastAsia="Times New Roman" w:hAnsi="Times New Roman" w:cs="Times New Roman"/>
          <w:bCs/>
          <w:i/>
          <w:kern w:val="36"/>
          <w:sz w:val="18"/>
          <w:szCs w:val="18"/>
          <w:lang w:eastAsia="fr-FR"/>
        </w:rPr>
        <w:t>Analytics</w:t>
      </w:r>
      <w:proofErr w:type="spellEnd"/>
      <w:r w:rsidRPr="00941CF6">
        <w:rPr>
          <w:rFonts w:ascii="Times New Roman" w:eastAsia="Times New Roman" w:hAnsi="Times New Roman" w:cs="Times New Roman"/>
          <w:bCs/>
          <w:kern w:val="36"/>
          <w:sz w:val="18"/>
          <w:szCs w:val="18"/>
          <w:lang w:eastAsia="fr-FR"/>
        </w:rPr>
        <w:t xml:space="preserve"> CIA</w:t>
      </w:r>
      <w:r>
        <w:rPr>
          <w:rFonts w:ascii="Times New Roman" w:eastAsia="Times New Roman" w:hAnsi="Times New Roman" w:cs="Times New Roman"/>
          <w:bCs/>
          <w:kern w:val="36"/>
          <w:sz w:val="18"/>
          <w:szCs w:val="18"/>
          <w:lang w:eastAsia="fr-FR"/>
        </w:rPr>
        <w:t>…).</w:t>
      </w:r>
    </w:p>
  </w:footnote>
  <w:footnote w:id="3">
    <w:p w:rsidR="003C400A" w:rsidRPr="00FB1175" w:rsidRDefault="003C400A" w:rsidP="00EB3251">
      <w:pPr>
        <w:pStyle w:val="Notedebasdepage"/>
        <w:rPr>
          <w:rFonts w:ascii="Times New Roman" w:hAnsi="Times New Roman" w:cs="Times New Roman"/>
        </w:rPr>
      </w:pPr>
      <w:r>
        <w:rPr>
          <w:rStyle w:val="Appelnotedebasdep"/>
        </w:rPr>
        <w:footnoteRef/>
      </w:r>
      <w:r>
        <w:t> </w:t>
      </w:r>
      <w:r w:rsidRPr="005E2186">
        <w:rPr>
          <w:rFonts w:ascii="Times New Roman" w:hAnsi="Times New Roman" w:cs="Times New Roman"/>
          <w:sz w:val="18"/>
          <w:szCs w:val="18"/>
        </w:rPr>
        <w:t xml:space="preserve">Liens vers les rapports : </w:t>
      </w:r>
      <w:hyperlink r:id="rId3" w:history="1">
        <w:r w:rsidRPr="005E2186">
          <w:rPr>
            <w:rStyle w:val="Lienhypertexte"/>
            <w:rFonts w:ascii="Times New Roman" w:hAnsi="Times New Roman" w:cs="Times New Roman"/>
            <w:sz w:val="18"/>
            <w:szCs w:val="18"/>
          </w:rPr>
          <w:t>https://www.ran.org/wp-content/uploads/2020/03/Banking_on_Climate_Change__2020_vF.pdf</w:t>
        </w:r>
      </w:hyperlink>
      <w:r w:rsidRPr="005E2186">
        <w:rPr>
          <w:rFonts w:ascii="Times New Roman" w:hAnsi="Times New Roman" w:cs="Times New Roman"/>
          <w:sz w:val="18"/>
          <w:szCs w:val="18"/>
        </w:rPr>
        <w:t xml:space="preserve"> ; </w:t>
      </w:r>
      <w:hyperlink r:id="rId4" w:history="1">
        <w:r w:rsidRPr="005E2186">
          <w:rPr>
            <w:rStyle w:val="Lienhypertexte"/>
            <w:rFonts w:ascii="Times New Roman" w:hAnsi="Times New Roman" w:cs="Times New Roman"/>
            <w:sz w:val="18"/>
            <w:szCs w:val="18"/>
          </w:rPr>
          <w:t>https://shareaction.org/research-resources/banking-on-a-low-carbon-future-ii/</w:t>
        </w:r>
      </w:hyperlink>
      <w:r w:rsidRPr="005E2186">
        <w:rPr>
          <w:rFonts w:ascii="Times New Roman" w:hAnsi="Times New Roman" w:cs="Times New Roman"/>
          <w:sz w:val="18"/>
          <w:szCs w:val="18"/>
        </w:rPr>
        <w:t xml:space="preserve"> ; </w:t>
      </w:r>
      <w:hyperlink r:id="rId5" w:history="1">
        <w:r w:rsidRPr="005E2186">
          <w:rPr>
            <w:rStyle w:val="Lienhypertexte"/>
            <w:rFonts w:ascii="Times New Roman" w:hAnsi="Times New Roman" w:cs="Times New Roman"/>
            <w:sz w:val="18"/>
            <w:szCs w:val="18"/>
          </w:rPr>
          <w:t>https://www.oxfamfrance.org/rapports/banques-des-engagements-climat-a-prendre-au-4eme-degre/</w:t>
        </w:r>
      </w:hyperlink>
      <w:r w:rsidRPr="005E2186">
        <w:rPr>
          <w:rFonts w:ascii="Times New Roman" w:hAnsi="Times New Roman" w:cs="Times New Roman"/>
          <w:sz w:val="18"/>
          <w:szCs w:val="18"/>
        </w:rPr>
        <w:t>.</w:t>
      </w:r>
      <w:r>
        <w:rPr>
          <w:rFonts w:ascii="Times New Roman" w:hAnsi="Times New Roman" w:cs="Times New Roman"/>
        </w:rPr>
        <w:t xml:space="preserve"> </w:t>
      </w:r>
    </w:p>
    <w:p w:rsidR="003C400A" w:rsidRPr="00FB1175" w:rsidRDefault="003C400A" w:rsidP="00EB3251">
      <w:pPr>
        <w:pStyle w:val="Notedebasdepage"/>
        <w:rPr>
          <w:rFonts w:ascii="Times New Roman" w:hAnsi="Times New Roman" w:cs="Times New Roman"/>
        </w:rPr>
      </w:pPr>
      <w:r>
        <w:rPr>
          <w:rFonts w:ascii="Times New Roman" w:hAnsi="Times New Roman" w:cs="Times New Roman"/>
        </w:rPr>
        <w:t xml:space="preserve"> </w:t>
      </w:r>
    </w:p>
    <w:p w:rsidR="003C400A" w:rsidRPr="00FB1175" w:rsidRDefault="003C400A" w:rsidP="00EB3251">
      <w:pPr>
        <w:pStyle w:val="Notedebasdepage"/>
        <w:rPr>
          <w:rFonts w:ascii="Times New Roman" w:hAnsi="Times New Roman" w:cs="Times New Roman"/>
        </w:rPr>
      </w:pPr>
    </w:p>
    <w:p w:rsidR="003C400A" w:rsidRDefault="003C400A" w:rsidP="00EB3251">
      <w:pPr>
        <w:pStyle w:val="Notedebasdepage"/>
      </w:pPr>
    </w:p>
  </w:footnote>
  <w:footnote w:id="4">
    <w:p w:rsidR="003C400A" w:rsidRDefault="003C400A" w:rsidP="00EB3251">
      <w:pPr>
        <w:pStyle w:val="Notedebasdepage"/>
        <w:jc w:val="both"/>
      </w:pPr>
      <w:r>
        <w:rPr>
          <w:rStyle w:val="Appelnotedebasdep"/>
        </w:rPr>
        <w:footnoteRef/>
      </w:r>
      <w:r>
        <w:t> </w:t>
      </w:r>
      <w:r w:rsidRPr="00E83633">
        <w:rPr>
          <w:rFonts w:ascii="Times New Roman" w:hAnsi="Times New Roman" w:cs="Times New Roman"/>
          <w:sz w:val="18"/>
          <w:szCs w:val="18"/>
        </w:rPr>
        <w:t xml:space="preserve">Les hypothèses du champ socio-politique considèrent que la décision managériale de DVI reflète l’influence des contextes institutionnels </w:t>
      </w:r>
      <w:r>
        <w:rPr>
          <w:rFonts w:ascii="Times New Roman" w:hAnsi="Times New Roman" w:cs="Times New Roman"/>
          <w:sz w:val="18"/>
          <w:szCs w:val="18"/>
        </w:rPr>
        <w:t>des firmes (</w:t>
      </w:r>
      <w:proofErr w:type="spellStart"/>
      <w:r>
        <w:rPr>
          <w:rFonts w:ascii="Times New Roman" w:hAnsi="Times New Roman" w:cs="Times New Roman"/>
          <w:sz w:val="18"/>
          <w:szCs w:val="18"/>
        </w:rPr>
        <w:t>DiMaggio</w:t>
      </w:r>
      <w:proofErr w:type="spellEnd"/>
      <w:r>
        <w:rPr>
          <w:rFonts w:ascii="Times New Roman" w:hAnsi="Times New Roman" w:cs="Times New Roman"/>
          <w:sz w:val="18"/>
          <w:szCs w:val="18"/>
        </w:rPr>
        <w:t xml:space="preserve"> et Powell </w:t>
      </w:r>
      <w:r w:rsidRPr="00E83633">
        <w:rPr>
          <w:rFonts w:ascii="Times New Roman" w:hAnsi="Times New Roman" w:cs="Times New Roman"/>
          <w:sz w:val="18"/>
          <w:szCs w:val="18"/>
        </w:rPr>
        <w:t>1983). Selon les théories économiques, la décision de DVI répond à un objectif de maximisation du profit.</w:t>
      </w:r>
    </w:p>
  </w:footnote>
  <w:footnote w:id="5">
    <w:p w:rsidR="003C400A" w:rsidRPr="00E83633" w:rsidRDefault="003C400A" w:rsidP="00EB3251">
      <w:pPr>
        <w:pStyle w:val="Notedebasdepage"/>
        <w:jc w:val="both"/>
        <w:rPr>
          <w:rFonts w:ascii="Times New Roman" w:hAnsi="Times New Roman" w:cs="Times New Roman"/>
          <w:sz w:val="18"/>
          <w:szCs w:val="18"/>
        </w:rPr>
      </w:pPr>
      <w:r>
        <w:rPr>
          <w:rStyle w:val="Appelnotedebasdep"/>
        </w:rPr>
        <w:footnoteRef/>
      </w:r>
      <w:r>
        <w:t> </w:t>
      </w:r>
      <w:r w:rsidRPr="00E83633">
        <w:rPr>
          <w:rFonts w:ascii="Times New Roman" w:hAnsi="Times New Roman" w:cs="Times New Roman"/>
          <w:sz w:val="18"/>
          <w:szCs w:val="18"/>
        </w:rPr>
        <w:t>Cette hypothèse prévoit notamment que les entreprises aux performances médiocres préfèrent ne pas communiquer pour être assimilées à des firmes aux performanc</w:t>
      </w:r>
      <w:r>
        <w:rPr>
          <w:rFonts w:ascii="Times New Roman" w:hAnsi="Times New Roman" w:cs="Times New Roman"/>
          <w:sz w:val="18"/>
          <w:szCs w:val="18"/>
        </w:rPr>
        <w:t>es moyennes (</w:t>
      </w:r>
      <w:proofErr w:type="spellStart"/>
      <w:r>
        <w:rPr>
          <w:rFonts w:ascii="Times New Roman" w:hAnsi="Times New Roman" w:cs="Times New Roman"/>
          <w:sz w:val="18"/>
          <w:szCs w:val="18"/>
        </w:rPr>
        <w:t>Giannarakis</w:t>
      </w:r>
      <w:proofErr w:type="spellEnd"/>
      <w:r>
        <w:rPr>
          <w:rFonts w:ascii="Times New Roman" w:hAnsi="Times New Roman" w:cs="Times New Roman"/>
          <w:sz w:val="18"/>
          <w:szCs w:val="18"/>
        </w:rPr>
        <w:t xml:space="preserve"> et al.</w:t>
      </w:r>
      <w:r w:rsidRPr="00E83633">
        <w:rPr>
          <w:rFonts w:ascii="Times New Roman" w:hAnsi="Times New Roman" w:cs="Times New Roman"/>
          <w:sz w:val="18"/>
          <w:szCs w:val="18"/>
        </w:rPr>
        <w:t xml:space="preserve"> 2017).</w:t>
      </w:r>
    </w:p>
  </w:footnote>
  <w:footnote w:id="6">
    <w:p w:rsidR="003C400A" w:rsidRPr="002804CA" w:rsidRDefault="003C400A" w:rsidP="00EB3251">
      <w:pPr>
        <w:pStyle w:val="Notedebasdepage"/>
        <w:jc w:val="both"/>
        <w:rPr>
          <w:sz w:val="18"/>
          <w:szCs w:val="18"/>
        </w:rPr>
      </w:pPr>
      <w:r>
        <w:rPr>
          <w:rStyle w:val="Appelnotedebasdep"/>
        </w:rPr>
        <w:footnoteRef/>
      </w:r>
      <w:r>
        <w:t> </w:t>
      </w:r>
      <w:r w:rsidRPr="002804CA">
        <w:rPr>
          <w:rFonts w:ascii="Times New Roman" w:eastAsia="Times New Roman" w:hAnsi="Times New Roman" w:cs="Times New Roman"/>
          <w:bCs/>
          <w:kern w:val="36"/>
          <w:sz w:val="18"/>
          <w:szCs w:val="18"/>
          <w:lang w:eastAsia="fr-FR"/>
        </w:rPr>
        <w:t>Plus généralement, le foisonnement de mesures de performances environnementales et la multiplication des rapports de soutenabilité et extra-financiers peuvent perturb</w:t>
      </w:r>
      <w:r>
        <w:rPr>
          <w:rFonts w:ascii="Times New Roman" w:eastAsia="Times New Roman" w:hAnsi="Times New Roman" w:cs="Times New Roman"/>
          <w:bCs/>
          <w:kern w:val="36"/>
          <w:sz w:val="18"/>
          <w:szCs w:val="18"/>
          <w:lang w:eastAsia="fr-FR"/>
        </w:rPr>
        <w:t>er le signal émis (</w:t>
      </w:r>
      <w:proofErr w:type="spellStart"/>
      <w:r>
        <w:rPr>
          <w:rFonts w:ascii="Times New Roman" w:eastAsia="Times New Roman" w:hAnsi="Times New Roman" w:cs="Times New Roman"/>
          <w:bCs/>
          <w:kern w:val="36"/>
          <w:sz w:val="18"/>
          <w:szCs w:val="18"/>
          <w:lang w:eastAsia="fr-FR"/>
        </w:rPr>
        <w:t>Cosma</w:t>
      </w:r>
      <w:proofErr w:type="spellEnd"/>
      <w:r>
        <w:rPr>
          <w:rFonts w:ascii="Times New Roman" w:eastAsia="Times New Roman" w:hAnsi="Times New Roman" w:cs="Times New Roman"/>
          <w:bCs/>
          <w:kern w:val="36"/>
          <w:sz w:val="18"/>
          <w:szCs w:val="18"/>
          <w:lang w:eastAsia="fr-FR"/>
        </w:rPr>
        <w:t xml:space="preserve"> et al.</w:t>
      </w:r>
      <w:r w:rsidRPr="002804CA">
        <w:rPr>
          <w:rFonts w:ascii="Times New Roman" w:eastAsia="Times New Roman" w:hAnsi="Times New Roman" w:cs="Times New Roman"/>
          <w:bCs/>
          <w:kern w:val="36"/>
          <w:sz w:val="18"/>
          <w:szCs w:val="18"/>
          <w:lang w:eastAsia="fr-FR"/>
        </w:rPr>
        <w:t xml:space="preserve"> 2020).</w:t>
      </w:r>
    </w:p>
  </w:footnote>
  <w:footnote w:id="7">
    <w:p w:rsidR="003C400A" w:rsidRDefault="003C400A" w:rsidP="00EB3251">
      <w:pPr>
        <w:pStyle w:val="Notedebasdepage"/>
        <w:jc w:val="both"/>
      </w:pPr>
      <w:r>
        <w:rPr>
          <w:rStyle w:val="Appelnotedebasdep"/>
        </w:rPr>
        <w:footnoteRef/>
      </w:r>
      <w:r>
        <w:t> </w:t>
      </w:r>
      <w:r w:rsidRPr="002804CA">
        <w:rPr>
          <w:rFonts w:ascii="Times New Roman" w:hAnsi="Times New Roman" w:cs="Times New Roman"/>
          <w:sz w:val="18"/>
          <w:szCs w:val="18"/>
        </w:rPr>
        <w:t xml:space="preserve">Les arguments concernant le sens et l’intensité des relations taille-DVI et rentabilité-DVI proviennent </w:t>
      </w:r>
      <w:r>
        <w:rPr>
          <w:rFonts w:ascii="Times New Roman" w:hAnsi="Times New Roman" w:cs="Times New Roman"/>
          <w:sz w:val="18"/>
          <w:szCs w:val="18"/>
        </w:rPr>
        <w:t xml:space="preserve">(également) </w:t>
      </w:r>
      <w:r w:rsidRPr="002804CA">
        <w:rPr>
          <w:rFonts w:ascii="Times New Roman" w:hAnsi="Times New Roman" w:cs="Times New Roman"/>
          <w:sz w:val="18"/>
          <w:szCs w:val="18"/>
        </w:rPr>
        <w:t>du champ des théories économiques qui tienne</w:t>
      </w:r>
      <w:r>
        <w:rPr>
          <w:rFonts w:ascii="Times New Roman" w:hAnsi="Times New Roman" w:cs="Times New Roman"/>
          <w:sz w:val="18"/>
          <w:szCs w:val="18"/>
        </w:rPr>
        <w:t xml:space="preserve">nt compte des coûts d’agence, </w:t>
      </w:r>
      <w:r w:rsidRPr="002804CA">
        <w:rPr>
          <w:rFonts w:ascii="Times New Roman" w:hAnsi="Times New Roman" w:cs="Times New Roman"/>
          <w:sz w:val="18"/>
          <w:szCs w:val="18"/>
        </w:rPr>
        <w:t xml:space="preserve">de </w:t>
      </w:r>
      <w:r>
        <w:rPr>
          <w:rFonts w:ascii="Times New Roman" w:hAnsi="Times New Roman" w:cs="Times New Roman"/>
          <w:sz w:val="18"/>
          <w:szCs w:val="18"/>
        </w:rPr>
        <w:t xml:space="preserve">collecte et de </w:t>
      </w:r>
      <w:r w:rsidRPr="002804CA">
        <w:rPr>
          <w:rFonts w:ascii="Times New Roman" w:hAnsi="Times New Roman" w:cs="Times New Roman"/>
          <w:sz w:val="18"/>
          <w:szCs w:val="18"/>
        </w:rPr>
        <w:t>diffusion de l’information.</w:t>
      </w:r>
    </w:p>
  </w:footnote>
  <w:footnote w:id="8">
    <w:p w:rsidR="003C400A" w:rsidRPr="002527F2" w:rsidRDefault="003C400A" w:rsidP="00EB3251">
      <w:pPr>
        <w:pStyle w:val="Notedebasdepage"/>
        <w:jc w:val="both"/>
        <w:rPr>
          <w:rFonts w:ascii="Times New Roman" w:hAnsi="Times New Roman" w:cs="Times New Roman"/>
          <w:sz w:val="18"/>
          <w:szCs w:val="18"/>
        </w:rPr>
      </w:pPr>
      <w:r>
        <w:rPr>
          <w:rStyle w:val="Appelnotedebasdep"/>
        </w:rPr>
        <w:footnoteRef/>
      </w:r>
      <w:r>
        <w:t> </w:t>
      </w:r>
      <w:proofErr w:type="spellStart"/>
      <w:r w:rsidRPr="002527F2">
        <w:rPr>
          <w:rFonts w:ascii="Times New Roman" w:hAnsi="Times New Roman" w:cs="Times New Roman"/>
          <w:sz w:val="18"/>
          <w:szCs w:val="18"/>
        </w:rPr>
        <w:t>DiMaggio</w:t>
      </w:r>
      <w:proofErr w:type="spellEnd"/>
      <w:r w:rsidRPr="002527F2">
        <w:rPr>
          <w:rFonts w:ascii="Times New Roman" w:hAnsi="Times New Roman" w:cs="Times New Roman"/>
          <w:sz w:val="18"/>
          <w:szCs w:val="18"/>
        </w:rPr>
        <w:t xml:space="preserve"> et Powell (1983) identifient un phénomène d’isomorphisme (coercitif, normatif et mimétique) qui découle de l’influence des caractéristiques institutionnelles sur la DVI des firmes (dimensions politiques, économiques et c</w:t>
      </w:r>
      <w:r>
        <w:rPr>
          <w:rFonts w:ascii="Times New Roman" w:hAnsi="Times New Roman" w:cs="Times New Roman"/>
          <w:sz w:val="18"/>
          <w:szCs w:val="18"/>
        </w:rPr>
        <w:t>ulturelles) et tend à faire converger</w:t>
      </w:r>
      <w:r w:rsidRPr="002527F2">
        <w:rPr>
          <w:rFonts w:ascii="Times New Roman" w:hAnsi="Times New Roman" w:cs="Times New Roman"/>
          <w:sz w:val="18"/>
          <w:szCs w:val="18"/>
        </w:rPr>
        <w:t xml:space="preserve"> les pratiques </w:t>
      </w:r>
      <w:r>
        <w:rPr>
          <w:rFonts w:ascii="Times New Roman" w:hAnsi="Times New Roman" w:cs="Times New Roman"/>
          <w:sz w:val="18"/>
          <w:szCs w:val="18"/>
        </w:rPr>
        <w:t xml:space="preserve">managériales </w:t>
      </w:r>
      <w:r w:rsidRPr="002527F2">
        <w:rPr>
          <w:rFonts w:ascii="Times New Roman" w:hAnsi="Times New Roman" w:cs="Times New Roman"/>
          <w:sz w:val="18"/>
          <w:szCs w:val="18"/>
        </w:rPr>
        <w:t>des firmes dans un contexte donné.</w:t>
      </w:r>
    </w:p>
  </w:footnote>
  <w:footnote w:id="9">
    <w:p w:rsidR="003C400A" w:rsidRDefault="003C400A" w:rsidP="00EB3251">
      <w:pPr>
        <w:pStyle w:val="Notedebasdepage"/>
        <w:rPr>
          <w:rStyle w:val="Lienhypertexte"/>
          <w:rFonts w:ascii="Times New Roman" w:eastAsia="Times New Roman" w:hAnsi="Times New Roman" w:cs="Times New Roman"/>
          <w:bCs/>
          <w:color w:val="auto"/>
          <w:kern w:val="36"/>
          <w:sz w:val="18"/>
          <w:szCs w:val="18"/>
          <w:lang w:eastAsia="fr-FR"/>
        </w:rPr>
      </w:pPr>
      <w:r w:rsidRPr="001845C0">
        <w:rPr>
          <w:rStyle w:val="Appelnotedebasdep"/>
          <w:rFonts w:ascii="Times New Roman" w:hAnsi="Times New Roman" w:cs="Times New Roman"/>
        </w:rPr>
        <w:footnoteRef/>
      </w:r>
      <w:r>
        <w:rPr>
          <w:rFonts w:ascii="Times New Roman" w:hAnsi="Times New Roman" w:cs="Times New Roman"/>
        </w:rPr>
        <w:t> </w:t>
      </w:r>
      <w:r w:rsidRPr="00A31375">
        <w:rPr>
          <w:rFonts w:ascii="Times New Roman" w:hAnsi="Times New Roman" w:cs="Times New Roman"/>
          <w:sz w:val="18"/>
          <w:szCs w:val="18"/>
        </w:rPr>
        <w:t xml:space="preserve">Pour télécharger les standards GRI : </w:t>
      </w:r>
      <w:hyperlink r:id="rId6" w:history="1">
        <w:r w:rsidRPr="00A31375">
          <w:rPr>
            <w:rStyle w:val="Lienhypertexte"/>
            <w:rFonts w:ascii="Times New Roman" w:hAnsi="Times New Roman" w:cs="Times New Roman"/>
            <w:sz w:val="18"/>
            <w:szCs w:val="18"/>
          </w:rPr>
          <w:t>https://www.globalreporting.org/how-to-use-the-gri-standards/gri-standards-english-language/</w:t>
        </w:r>
      </w:hyperlink>
      <w:r w:rsidRPr="00A31375">
        <w:rPr>
          <w:rFonts w:ascii="Times New Roman" w:hAnsi="Times New Roman" w:cs="Times New Roman"/>
          <w:sz w:val="18"/>
          <w:szCs w:val="18"/>
        </w:rPr>
        <w:t xml:space="preserve">. Les rubriques du rapport CDP comprennent la méthodologie et la mesure des émissions de GES. Pour consulter le contenu détaillé du questionnaire CDP 2020 : </w:t>
      </w:r>
      <w:hyperlink r:id="rId7" w:history="1">
        <w:r w:rsidRPr="00A31375">
          <w:rPr>
            <w:rStyle w:val="Lienhypertexte"/>
            <w:rFonts w:ascii="Times New Roman" w:eastAsia="Times New Roman" w:hAnsi="Times New Roman" w:cs="Times New Roman"/>
            <w:bCs/>
            <w:color w:val="auto"/>
            <w:kern w:val="36"/>
            <w:sz w:val="18"/>
            <w:szCs w:val="18"/>
            <w:lang w:eastAsia="fr-FR"/>
          </w:rPr>
          <w:t>https://guidance.cdp.net/en/guidance?cid=13&amp;ctype=theme&amp;idtype=ThemeID&amp;incchild=1&amp;microsite=0&amp;otype=Questionnaire&amp;tags=TAG-646,TAG-605,TAG-600</w:t>
        </w:r>
      </w:hyperlink>
      <w:r w:rsidRPr="00A31375">
        <w:rPr>
          <w:rStyle w:val="Lienhypertexte"/>
          <w:rFonts w:ascii="Times New Roman" w:eastAsia="Times New Roman" w:hAnsi="Times New Roman" w:cs="Times New Roman"/>
          <w:bCs/>
          <w:color w:val="auto"/>
          <w:kern w:val="36"/>
          <w:sz w:val="18"/>
          <w:szCs w:val="18"/>
          <w:lang w:eastAsia="fr-FR"/>
        </w:rPr>
        <w:t xml:space="preserve">. </w:t>
      </w:r>
    </w:p>
    <w:p w:rsidR="003C400A" w:rsidRPr="00A31375" w:rsidRDefault="003C400A" w:rsidP="00EB3251">
      <w:pPr>
        <w:pStyle w:val="Notedebasdepage"/>
        <w:rPr>
          <w:rFonts w:ascii="Times New Roman" w:hAnsi="Times New Roman" w:cs="Times New Roman"/>
          <w:sz w:val="18"/>
          <w:szCs w:val="18"/>
        </w:rPr>
      </w:pPr>
      <w:r w:rsidRPr="00A31375">
        <w:rPr>
          <w:rFonts w:ascii="Times New Roman" w:hAnsi="Times New Roman" w:cs="Times New Roman"/>
          <w:sz w:val="18"/>
          <w:szCs w:val="18"/>
        </w:rPr>
        <w:t>Les scores CDP sont très utilisés dans la littérature e</w:t>
      </w:r>
      <w:r>
        <w:rPr>
          <w:rFonts w:ascii="Times New Roman" w:hAnsi="Times New Roman" w:cs="Times New Roman"/>
          <w:sz w:val="18"/>
          <w:szCs w:val="18"/>
        </w:rPr>
        <w:t>mpirique</w:t>
      </w:r>
      <w:r w:rsidRPr="00A1622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Dawkins</w:t>
      </w:r>
      <w:proofErr w:type="spellEnd"/>
      <w:r>
        <w:rPr>
          <w:rFonts w:ascii="Times New Roman" w:hAnsi="Times New Roman" w:cs="Times New Roman"/>
          <w:sz w:val="18"/>
          <w:szCs w:val="18"/>
        </w:rPr>
        <w:t xml:space="preserve"> et </w:t>
      </w:r>
      <w:proofErr w:type="spellStart"/>
      <w:r>
        <w:rPr>
          <w:rFonts w:ascii="Times New Roman" w:hAnsi="Times New Roman" w:cs="Times New Roman"/>
          <w:sz w:val="18"/>
          <w:szCs w:val="18"/>
        </w:rPr>
        <w:t>Fraas</w:t>
      </w:r>
      <w:proofErr w:type="spellEnd"/>
      <w:r>
        <w:rPr>
          <w:rFonts w:ascii="Times New Roman" w:hAnsi="Times New Roman" w:cs="Times New Roman"/>
          <w:sz w:val="18"/>
          <w:szCs w:val="18"/>
        </w:rPr>
        <w:t xml:space="preserve"> 2011 </w:t>
      </w:r>
      <w:r w:rsidRPr="00A31375">
        <w:rPr>
          <w:rFonts w:ascii="Times New Roman" w:hAnsi="Times New Roman" w:cs="Times New Roman"/>
          <w:sz w:val="18"/>
          <w:szCs w:val="18"/>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Luo</w:t>
      </w:r>
      <w:proofErr w:type="spellEnd"/>
      <w:r>
        <w:rPr>
          <w:rFonts w:ascii="Times New Roman" w:hAnsi="Times New Roman" w:cs="Times New Roman"/>
          <w:sz w:val="18"/>
          <w:szCs w:val="18"/>
        </w:rPr>
        <w:t xml:space="preserve"> et Tang</w:t>
      </w:r>
      <w:r w:rsidRPr="00A31375">
        <w:rPr>
          <w:rFonts w:ascii="Times New Roman" w:hAnsi="Times New Roman" w:cs="Times New Roman"/>
          <w:sz w:val="18"/>
          <w:szCs w:val="18"/>
        </w:rPr>
        <w:t xml:space="preserve"> 2014</w:t>
      </w:r>
      <w:r>
        <w:rPr>
          <w:rFonts w:ascii="Times New Roman" w:hAnsi="Times New Roman" w:cs="Times New Roman"/>
          <w:sz w:val="18"/>
          <w:szCs w:val="18"/>
        </w:rPr>
        <w:t xml:space="preserve"> ; </w:t>
      </w:r>
      <w:proofErr w:type="spellStart"/>
      <w:r>
        <w:rPr>
          <w:rFonts w:ascii="Times New Roman" w:hAnsi="Times New Roman" w:cs="Times New Roman"/>
          <w:sz w:val="18"/>
          <w:szCs w:val="18"/>
        </w:rPr>
        <w:t>Depoers</w:t>
      </w:r>
      <w:proofErr w:type="spellEnd"/>
      <w:r>
        <w:rPr>
          <w:rFonts w:ascii="Times New Roman" w:hAnsi="Times New Roman" w:cs="Times New Roman"/>
          <w:sz w:val="18"/>
          <w:szCs w:val="18"/>
        </w:rPr>
        <w:t xml:space="preserve"> et al. 2016 ; </w:t>
      </w:r>
      <w:proofErr w:type="spellStart"/>
      <w:r w:rsidRPr="00A31375">
        <w:rPr>
          <w:rFonts w:ascii="Times New Roman" w:hAnsi="Times New Roman" w:cs="Times New Roman"/>
          <w:sz w:val="18"/>
          <w:szCs w:val="18"/>
        </w:rPr>
        <w:t>Grauel</w:t>
      </w:r>
      <w:proofErr w:type="spellEnd"/>
      <w:r w:rsidRPr="00A31375">
        <w:rPr>
          <w:rFonts w:ascii="Times New Roman" w:hAnsi="Times New Roman" w:cs="Times New Roman"/>
          <w:sz w:val="18"/>
          <w:szCs w:val="18"/>
        </w:rPr>
        <w:t xml:space="preserve"> et </w:t>
      </w:r>
      <w:proofErr w:type="spellStart"/>
      <w:r w:rsidRPr="00A31375">
        <w:rPr>
          <w:rFonts w:ascii="Times New Roman" w:hAnsi="Times New Roman" w:cs="Times New Roman"/>
          <w:sz w:val="18"/>
          <w:szCs w:val="18"/>
        </w:rPr>
        <w:t>G</w:t>
      </w:r>
      <w:r>
        <w:rPr>
          <w:rFonts w:ascii="Times New Roman" w:hAnsi="Times New Roman" w:cs="Times New Roman"/>
          <w:sz w:val="18"/>
          <w:szCs w:val="18"/>
        </w:rPr>
        <w:t>otthardt</w:t>
      </w:r>
      <w:proofErr w:type="spellEnd"/>
      <w:r>
        <w:rPr>
          <w:rFonts w:ascii="Times New Roman" w:hAnsi="Times New Roman" w:cs="Times New Roman"/>
          <w:sz w:val="18"/>
          <w:szCs w:val="18"/>
        </w:rPr>
        <w:t xml:space="preserve"> 2016 ; </w:t>
      </w:r>
      <w:proofErr w:type="spellStart"/>
      <w:r>
        <w:rPr>
          <w:rFonts w:ascii="Times New Roman" w:hAnsi="Times New Roman" w:cs="Times New Roman"/>
          <w:sz w:val="18"/>
          <w:szCs w:val="18"/>
        </w:rPr>
        <w:t>Luo</w:t>
      </w:r>
      <w:proofErr w:type="spellEnd"/>
      <w:r w:rsidRPr="00A31375">
        <w:rPr>
          <w:rFonts w:ascii="Times New Roman" w:hAnsi="Times New Roman" w:cs="Times New Roman"/>
          <w:sz w:val="18"/>
          <w:szCs w:val="18"/>
        </w:rPr>
        <w:t xml:space="preserve"> 2019</w:t>
      </w:r>
      <w:r>
        <w:rPr>
          <w:rFonts w:ascii="Times New Roman" w:hAnsi="Times New Roman" w:cs="Times New Roman"/>
          <w:sz w:val="18"/>
          <w:szCs w:val="18"/>
        </w:rPr>
        <w:t xml:space="preserve"> </w:t>
      </w:r>
      <w:r w:rsidRPr="00A31375">
        <w:rPr>
          <w:rFonts w:ascii="Times New Roman" w:hAnsi="Times New Roman" w:cs="Times New Roman"/>
          <w:sz w:val="18"/>
          <w:szCs w:val="18"/>
        </w:rPr>
        <w:t>; Guenther et al. 2020</w:t>
      </w:r>
      <w:r>
        <w:rPr>
          <w:rFonts w:ascii="Times New Roman" w:hAnsi="Times New Roman" w:cs="Times New Roman"/>
          <w:sz w:val="18"/>
          <w:szCs w:val="18"/>
        </w:rPr>
        <w:t xml:space="preserve"> ; </w:t>
      </w:r>
      <w:proofErr w:type="spellStart"/>
      <w:r>
        <w:rPr>
          <w:rFonts w:ascii="Times New Roman" w:hAnsi="Times New Roman" w:cs="Times New Roman"/>
          <w:sz w:val="18"/>
          <w:szCs w:val="18"/>
        </w:rPr>
        <w:t>Caby</w:t>
      </w:r>
      <w:proofErr w:type="spellEnd"/>
      <w:r>
        <w:rPr>
          <w:rFonts w:ascii="Times New Roman" w:hAnsi="Times New Roman" w:cs="Times New Roman"/>
          <w:sz w:val="18"/>
          <w:szCs w:val="18"/>
        </w:rPr>
        <w:t xml:space="preserve"> et al.</w:t>
      </w:r>
      <w:r w:rsidRPr="00A31375">
        <w:rPr>
          <w:rFonts w:ascii="Times New Roman" w:hAnsi="Times New Roman" w:cs="Times New Roman"/>
          <w:sz w:val="18"/>
          <w:szCs w:val="18"/>
        </w:rPr>
        <w:t xml:space="preserve"> 2020</w:t>
      </w:r>
      <w:r>
        <w:rPr>
          <w:rFonts w:ascii="Times New Roman" w:hAnsi="Times New Roman" w:cs="Times New Roman"/>
          <w:sz w:val="18"/>
          <w:szCs w:val="18"/>
        </w:rPr>
        <w:t xml:space="preserve"> ; </w:t>
      </w:r>
      <w:proofErr w:type="spellStart"/>
      <w:r>
        <w:rPr>
          <w:rFonts w:ascii="Times New Roman" w:hAnsi="Times New Roman" w:cs="Times New Roman"/>
          <w:sz w:val="18"/>
          <w:szCs w:val="18"/>
        </w:rPr>
        <w:t>Bui</w:t>
      </w:r>
      <w:proofErr w:type="spellEnd"/>
      <w:r>
        <w:rPr>
          <w:rFonts w:ascii="Times New Roman" w:hAnsi="Times New Roman" w:cs="Times New Roman"/>
          <w:sz w:val="18"/>
          <w:szCs w:val="18"/>
        </w:rPr>
        <w:t xml:space="preserve"> et al.</w:t>
      </w:r>
      <w:r w:rsidRPr="00A31375">
        <w:rPr>
          <w:rFonts w:ascii="Times New Roman" w:hAnsi="Times New Roman" w:cs="Times New Roman"/>
          <w:sz w:val="18"/>
          <w:szCs w:val="18"/>
        </w:rPr>
        <w:t xml:space="preserve"> 2020).</w:t>
      </w:r>
    </w:p>
  </w:footnote>
  <w:footnote w:id="10">
    <w:p w:rsidR="003C400A" w:rsidRPr="007F3214" w:rsidRDefault="003C400A" w:rsidP="00EB3251">
      <w:pPr>
        <w:pStyle w:val="Notedebasdepage"/>
        <w:jc w:val="both"/>
        <w:rPr>
          <w:rFonts w:ascii="Times New Roman" w:hAnsi="Times New Roman" w:cs="Times New Roman"/>
          <w:sz w:val="18"/>
          <w:szCs w:val="18"/>
          <w:u w:val="single"/>
        </w:rPr>
      </w:pPr>
      <w:r>
        <w:rPr>
          <w:rStyle w:val="Appelnotedebasdep"/>
        </w:rPr>
        <w:footnoteRef/>
      </w:r>
      <w:r>
        <w:t> </w:t>
      </w:r>
      <w:r w:rsidRPr="007F3214">
        <w:rPr>
          <w:rFonts w:ascii="Times New Roman" w:hAnsi="Times New Roman" w:cs="Times New Roman"/>
          <w:sz w:val="18"/>
          <w:szCs w:val="18"/>
        </w:rPr>
        <w:t xml:space="preserve">Pour une explication détaillée du score EPI, consulter : </w:t>
      </w:r>
      <w:hyperlink r:id="rId8" w:history="1">
        <w:r w:rsidRPr="007F3214">
          <w:rPr>
            <w:rStyle w:val="Lienhypertexte"/>
            <w:rFonts w:ascii="Times New Roman" w:eastAsia="Times New Roman" w:hAnsi="Times New Roman" w:cs="Times New Roman"/>
            <w:bCs/>
            <w:color w:val="auto"/>
            <w:kern w:val="36"/>
            <w:sz w:val="18"/>
            <w:szCs w:val="18"/>
            <w:lang w:eastAsia="fr-FR"/>
          </w:rPr>
          <w:t>https://sedac.ciesin.columbia.edu/data/collection/epi/sets/browse</w:t>
        </w:r>
      </w:hyperlink>
      <w:r w:rsidRPr="007F3214">
        <w:rPr>
          <w:rStyle w:val="Lienhypertexte"/>
          <w:rFonts w:ascii="Times New Roman" w:eastAsia="Times New Roman" w:hAnsi="Times New Roman" w:cs="Times New Roman"/>
          <w:bCs/>
          <w:color w:val="auto"/>
          <w:kern w:val="36"/>
          <w:sz w:val="18"/>
          <w:szCs w:val="18"/>
          <w:lang w:eastAsia="fr-FR"/>
        </w:rPr>
        <w:t xml:space="preserve">. </w:t>
      </w:r>
      <w:r w:rsidRPr="007F3214">
        <w:rPr>
          <w:rStyle w:val="Lienhypertexte"/>
          <w:rFonts w:ascii="Times New Roman" w:eastAsia="Times New Roman" w:hAnsi="Times New Roman" w:cs="Times New Roman"/>
          <w:bCs/>
          <w:color w:val="auto"/>
          <w:kern w:val="36"/>
          <w:sz w:val="18"/>
          <w:szCs w:val="18"/>
          <w:u w:val="none"/>
          <w:lang w:eastAsia="fr-FR"/>
        </w:rPr>
        <w:t xml:space="preserve">Pour les initiatives européennes, voir les liens : </w:t>
      </w:r>
      <w:hyperlink r:id="rId9" w:history="1">
        <w:r w:rsidRPr="007F3214">
          <w:rPr>
            <w:rStyle w:val="Lienhypertexte"/>
            <w:rFonts w:ascii="Times New Roman" w:hAnsi="Times New Roman" w:cs="Times New Roman"/>
            <w:color w:val="auto"/>
            <w:sz w:val="18"/>
            <w:szCs w:val="18"/>
          </w:rPr>
          <w:t>https://ec.europa.eu/info/business-economy-euro/banking-and-finance/sustainable-finance/eu-taxonomy-sustainable-activities_en</w:t>
        </w:r>
      </w:hyperlink>
      <w:r w:rsidRPr="007F3214">
        <w:rPr>
          <w:rStyle w:val="Lienhypertexte"/>
          <w:rFonts w:ascii="Times New Roman" w:hAnsi="Times New Roman" w:cs="Times New Roman"/>
          <w:color w:val="auto"/>
          <w:sz w:val="18"/>
          <w:szCs w:val="18"/>
        </w:rPr>
        <w:t>.</w:t>
      </w:r>
    </w:p>
    <w:p w:rsidR="003C400A" w:rsidRPr="007F3214" w:rsidRDefault="003C400A" w:rsidP="00EB3251">
      <w:pPr>
        <w:pStyle w:val="Notedebasdepage"/>
        <w:jc w:val="both"/>
        <w:rPr>
          <w:rFonts w:ascii="Times New Roman" w:hAnsi="Times New Roman" w:cs="Times New Roman"/>
          <w:sz w:val="18"/>
          <w:szCs w:val="18"/>
        </w:rPr>
      </w:pPr>
    </w:p>
  </w:footnote>
  <w:footnote w:id="11">
    <w:p w:rsidR="003C400A" w:rsidRPr="001845C0" w:rsidRDefault="003C400A" w:rsidP="00EB3251">
      <w:pPr>
        <w:pStyle w:val="Notedebasdepage"/>
        <w:rPr>
          <w:rFonts w:ascii="Times New Roman" w:hAnsi="Times New Roman" w:cs="Times New Roman"/>
        </w:rPr>
      </w:pPr>
      <w:r w:rsidRPr="001845C0">
        <w:rPr>
          <w:rStyle w:val="Appelnotedebasdep"/>
          <w:rFonts w:ascii="Times New Roman" w:hAnsi="Times New Roman" w:cs="Times New Roman"/>
        </w:rPr>
        <w:footnoteRef/>
      </w:r>
      <w:r>
        <w:rPr>
          <w:rFonts w:ascii="Times New Roman" w:hAnsi="Times New Roman" w:cs="Times New Roman"/>
        </w:rPr>
        <w:t> </w:t>
      </w:r>
      <w:r w:rsidRPr="001845C0">
        <w:rPr>
          <w:rFonts w:ascii="Times New Roman" w:hAnsi="Times New Roman" w:cs="Times New Roman"/>
        </w:rPr>
        <w:t>8 observations sont manquantes sur cet indicateur (banques ING 4, JP Chase Morgan 2, China Construction Bank 1</w:t>
      </w:r>
      <w:r>
        <w:rPr>
          <w:rFonts w:ascii="Times New Roman" w:hAnsi="Times New Roman" w:cs="Times New Roman"/>
        </w:rPr>
        <w:t>, Deutsche Bank 1). Les scores nuls</w:t>
      </w:r>
      <w:r w:rsidRPr="001845C0">
        <w:rPr>
          <w:rFonts w:ascii="Times New Roman" w:hAnsi="Times New Roman" w:cs="Times New Roman"/>
        </w:rPr>
        <w:t xml:space="preserve"> concernent principalement les banques chinoises de l’échantillon, mais aussi BPCE </w:t>
      </w:r>
      <w:proofErr w:type="spellStart"/>
      <w:r w:rsidRPr="001845C0">
        <w:rPr>
          <w:rFonts w:ascii="Times New Roman" w:hAnsi="Times New Roman" w:cs="Times New Roman"/>
        </w:rPr>
        <w:t>Natixis</w:t>
      </w:r>
      <w:proofErr w:type="spellEnd"/>
      <w:r w:rsidRPr="001845C0">
        <w:rPr>
          <w:rFonts w:ascii="Times New Roman" w:hAnsi="Times New Roman" w:cs="Times New Roman"/>
        </w:rPr>
        <w:t xml:space="preserve">. </w:t>
      </w:r>
    </w:p>
  </w:footnote>
  <w:footnote w:id="12">
    <w:p w:rsidR="003C400A" w:rsidRDefault="003C400A" w:rsidP="00EB3251">
      <w:pPr>
        <w:pStyle w:val="Notedebasdepage"/>
      </w:pPr>
      <w:r w:rsidRPr="001845C0">
        <w:rPr>
          <w:rStyle w:val="Appelnotedebasdep"/>
          <w:rFonts w:ascii="Times New Roman" w:hAnsi="Times New Roman" w:cs="Times New Roman"/>
        </w:rPr>
        <w:footnoteRef/>
      </w:r>
      <w:r>
        <w:rPr>
          <w:rFonts w:ascii="Times New Roman" w:hAnsi="Times New Roman" w:cs="Times New Roman"/>
        </w:rPr>
        <w:t> </w:t>
      </w:r>
      <w:r w:rsidRPr="001845C0">
        <w:rPr>
          <w:rFonts w:ascii="Times New Roman" w:hAnsi="Times New Roman" w:cs="Times New Roman"/>
        </w:rPr>
        <w:t xml:space="preserve">26 observations sont au-dessus de 10/20, soit 19% du total. Le maximum est atteint par la banque </w:t>
      </w:r>
      <w:proofErr w:type="spellStart"/>
      <w:r w:rsidRPr="001845C0">
        <w:rPr>
          <w:rFonts w:ascii="Times New Roman" w:hAnsi="Times New Roman" w:cs="Times New Roman"/>
        </w:rPr>
        <w:t>Intesa</w:t>
      </w:r>
      <w:proofErr w:type="spellEnd"/>
      <w:r w:rsidRPr="001845C0">
        <w:rPr>
          <w:rFonts w:ascii="Times New Roman" w:hAnsi="Times New Roman" w:cs="Times New Roman"/>
        </w:rPr>
        <w:t xml:space="preserve"> </w:t>
      </w:r>
      <w:proofErr w:type="spellStart"/>
      <w:r w:rsidRPr="001845C0">
        <w:rPr>
          <w:rFonts w:ascii="Times New Roman" w:hAnsi="Times New Roman" w:cs="Times New Roman"/>
        </w:rPr>
        <w:t>Sanpaolo</w:t>
      </w:r>
      <w:proofErr w:type="spellEnd"/>
      <w:r w:rsidRPr="001845C0">
        <w:rPr>
          <w:rFonts w:ascii="Times New Roman" w:hAnsi="Times New Roman" w:cs="Times New Roman"/>
        </w:rPr>
        <w:t xml:space="preserve"> en 2019 (18).</w:t>
      </w:r>
    </w:p>
  </w:footnote>
  <w:footnote w:id="13">
    <w:p w:rsidR="003C400A" w:rsidRPr="00686781" w:rsidRDefault="003C400A" w:rsidP="00106834">
      <w:pPr>
        <w:pStyle w:val="Notedebasdepage"/>
        <w:jc w:val="both"/>
      </w:pPr>
      <w:r w:rsidRPr="001845C0">
        <w:rPr>
          <w:rStyle w:val="Appelnotedebasdep"/>
          <w:rFonts w:ascii="Times New Roman" w:hAnsi="Times New Roman" w:cs="Times New Roman"/>
        </w:rPr>
        <w:footnoteRef/>
      </w:r>
      <w:r>
        <w:rPr>
          <w:rFonts w:ascii="Times New Roman" w:hAnsi="Times New Roman" w:cs="Times New Roman"/>
        </w:rPr>
        <w:t> Voir l</w:t>
      </w:r>
      <w:r w:rsidRPr="001845C0">
        <w:rPr>
          <w:rFonts w:ascii="Times New Roman" w:hAnsi="Times New Roman" w:cs="Times New Roman"/>
        </w:rPr>
        <w:t>a librairie « </w:t>
      </w:r>
      <w:proofErr w:type="spellStart"/>
      <w:r w:rsidRPr="001845C0">
        <w:rPr>
          <w:rFonts w:ascii="Times New Roman" w:hAnsi="Times New Roman" w:cs="Times New Roman"/>
        </w:rPr>
        <w:t>glmnet</w:t>
      </w:r>
      <w:proofErr w:type="spellEnd"/>
      <w:r w:rsidRPr="001845C0">
        <w:rPr>
          <w:rFonts w:ascii="Times New Roman" w:hAnsi="Times New Roman" w:cs="Times New Roman"/>
        </w:rPr>
        <w:t xml:space="preserve"> » </w:t>
      </w:r>
      <w:r>
        <w:rPr>
          <w:rFonts w:ascii="Times New Roman" w:hAnsi="Times New Roman" w:cs="Times New Roman"/>
        </w:rPr>
        <w:t xml:space="preserve">de R </w:t>
      </w:r>
      <w:r w:rsidRPr="001845C0">
        <w:rPr>
          <w:rFonts w:ascii="Times New Roman" w:hAnsi="Times New Roman" w:cs="Times New Roman"/>
        </w:rPr>
        <w:t xml:space="preserve">pour les algorithmes </w:t>
      </w:r>
      <w:r w:rsidRPr="00426D18">
        <w:rPr>
          <w:rFonts w:ascii="Times New Roman" w:hAnsi="Times New Roman" w:cs="Times New Roman"/>
          <w:i/>
        </w:rPr>
        <w:t>Ridge</w:t>
      </w:r>
      <w:r w:rsidRPr="001845C0">
        <w:rPr>
          <w:rFonts w:ascii="Times New Roman" w:hAnsi="Times New Roman" w:cs="Times New Roman"/>
        </w:rPr>
        <w:t xml:space="preserve"> et </w:t>
      </w:r>
      <w:proofErr w:type="spellStart"/>
      <w:r w:rsidRPr="00426D18">
        <w:rPr>
          <w:rFonts w:ascii="Times New Roman" w:hAnsi="Times New Roman" w:cs="Times New Roman"/>
          <w:i/>
        </w:rPr>
        <w:t>Elasticnet</w:t>
      </w:r>
      <w:proofErr w:type="spellEnd"/>
      <w:r w:rsidRPr="001845C0">
        <w:rPr>
          <w:rFonts w:ascii="Times New Roman" w:hAnsi="Times New Roman" w:cs="Times New Roman"/>
        </w:rPr>
        <w:t>.</w:t>
      </w:r>
      <w:r>
        <w:rPr>
          <w:rFonts w:ascii="Times New Roman" w:hAnsi="Times New Roman" w:cs="Times New Roman"/>
        </w:rPr>
        <w:t xml:space="preserve"> </w:t>
      </w:r>
      <w:r w:rsidRPr="001845C0">
        <w:rPr>
          <w:rFonts w:ascii="Times New Roman" w:hAnsi="Times New Roman" w:cs="Times New Roman"/>
        </w:rPr>
        <w:t xml:space="preserve">Le </w:t>
      </w:r>
      <w:proofErr w:type="spellStart"/>
      <w:r w:rsidRPr="00426D18">
        <w:rPr>
          <w:rFonts w:ascii="Times New Roman" w:hAnsi="Times New Roman" w:cs="Times New Roman"/>
          <w:i/>
        </w:rPr>
        <w:t>bootstrap</w:t>
      </w:r>
      <w:proofErr w:type="spellEnd"/>
      <w:r w:rsidRPr="001845C0">
        <w:rPr>
          <w:rFonts w:ascii="Times New Roman" w:hAnsi="Times New Roman" w:cs="Times New Roman"/>
        </w:rPr>
        <w:t xml:space="preserve"> correspond à une reprise aléatoire des 140 observations de l’échantillon : plusieurs observations peuvent être retenues à chaque essai et d’autres peuvent ne pas être incluses. 500 essais consécutifs sont réalisés</w:t>
      </w:r>
      <w:r>
        <w:rPr>
          <w:rFonts w:ascii="Times New Roman" w:hAnsi="Times New Roman" w:cs="Times New Roman"/>
        </w:rPr>
        <w:t> : ils confèrent une idée de la robustesse de la modélisation</w:t>
      </w:r>
      <w:r w:rsidRPr="001845C0">
        <w:rPr>
          <w:rFonts w:ascii="Times New Roman" w:hAnsi="Times New Roman" w:cs="Times New Roman"/>
        </w:rPr>
        <w:t xml:space="preserve">. Les résultats sont commentés via des intervalles </w:t>
      </w:r>
      <w:r>
        <w:rPr>
          <w:rFonts w:ascii="Times New Roman" w:hAnsi="Times New Roman" w:cs="Times New Roman"/>
        </w:rPr>
        <w:t xml:space="preserve">de confiance obtenus par </w:t>
      </w:r>
      <w:r w:rsidRPr="001845C0">
        <w:rPr>
          <w:rFonts w:ascii="Times New Roman" w:hAnsi="Times New Roman" w:cs="Times New Roman"/>
        </w:rPr>
        <w:t xml:space="preserve">quantiles. </w:t>
      </w:r>
    </w:p>
    <w:p w:rsidR="003C400A" w:rsidRPr="001845C0" w:rsidRDefault="003C400A" w:rsidP="00EB3251">
      <w:pPr>
        <w:pStyle w:val="Notedebasdepage"/>
        <w:rPr>
          <w:rFonts w:ascii="Times New Roman" w:hAnsi="Times New Roman" w:cs="Times New Roman"/>
          <w:color w:val="FF0000"/>
        </w:rPr>
      </w:pPr>
    </w:p>
  </w:footnote>
  <w:footnote w:id="14">
    <w:p w:rsidR="003C400A" w:rsidRPr="00D73AE5" w:rsidRDefault="003C400A" w:rsidP="00D73AE5">
      <w:pPr>
        <w:pStyle w:val="Notedebasdepage"/>
        <w:jc w:val="both"/>
        <w:rPr>
          <w:rFonts w:ascii="Times New Roman" w:hAnsi="Times New Roman" w:cs="Times New Roman"/>
        </w:rPr>
      </w:pPr>
      <w:r w:rsidRPr="00D73AE5">
        <w:rPr>
          <w:rStyle w:val="Appelnotedebasdep"/>
          <w:rFonts w:ascii="Times New Roman" w:hAnsi="Times New Roman" w:cs="Times New Roman"/>
        </w:rPr>
        <w:footnoteRef/>
      </w:r>
      <w:r w:rsidRPr="00D73AE5">
        <w:rPr>
          <w:rFonts w:ascii="Times New Roman" w:hAnsi="Times New Roman" w:cs="Times New Roman"/>
        </w:rPr>
        <w:t xml:space="preserve"> La non colinéarité est effective si le facteur VIF </w:t>
      </w:r>
      <w:r>
        <w:rPr>
          <w:rFonts w:ascii="Times New Roman" w:hAnsi="Times New Roman" w:cs="Times New Roman"/>
        </w:rPr>
        <w:t xml:space="preserve">(Variance Inflation Factor) </w:t>
      </w:r>
      <w:r w:rsidRPr="00D73AE5">
        <w:rPr>
          <w:rFonts w:ascii="Times New Roman" w:hAnsi="Times New Roman" w:cs="Times New Roman"/>
        </w:rPr>
        <w:t xml:space="preserve">est inférieur à 5. Les résidus sont non corrélés si la p-value du test de </w:t>
      </w:r>
      <w:proofErr w:type="spellStart"/>
      <w:r w:rsidRPr="00D73AE5">
        <w:rPr>
          <w:rFonts w:ascii="Times New Roman" w:hAnsi="Times New Roman" w:cs="Times New Roman"/>
        </w:rPr>
        <w:t>Durbin</w:t>
      </w:r>
      <w:proofErr w:type="spellEnd"/>
      <w:r w:rsidRPr="00D73AE5">
        <w:rPr>
          <w:rFonts w:ascii="Times New Roman" w:hAnsi="Times New Roman" w:cs="Times New Roman"/>
        </w:rPr>
        <w:t xml:space="preserve"> Watson est supérieur à 0,05.</w:t>
      </w:r>
    </w:p>
  </w:footnote>
  <w:footnote w:id="15">
    <w:p w:rsidR="003C400A" w:rsidRPr="0095508F" w:rsidRDefault="003C400A" w:rsidP="0095508F">
      <w:pPr>
        <w:pStyle w:val="Notedebasdepage"/>
        <w:jc w:val="both"/>
        <w:rPr>
          <w:rFonts w:ascii="Times New Roman" w:hAnsi="Times New Roman" w:cs="Times New Roman"/>
        </w:rPr>
      </w:pPr>
      <w:r w:rsidRPr="0095508F">
        <w:rPr>
          <w:rStyle w:val="Appelnotedebasdep"/>
          <w:rFonts w:ascii="Times New Roman" w:hAnsi="Times New Roman" w:cs="Times New Roman"/>
        </w:rPr>
        <w:footnoteRef/>
      </w:r>
      <w:r w:rsidRPr="0095508F">
        <w:rPr>
          <w:rFonts w:ascii="Times New Roman" w:hAnsi="Times New Roman" w:cs="Times New Roman"/>
        </w:rPr>
        <w:t xml:space="preserve"> L’échantillon compte 4 banques chinoises (Bank of China, ICBC, China Construction Bank et Agricultural Bank of China) et 4 banques publiques (au niveau 2 de propriété : Bank of China, China Construction Bank, Agricultural Bank of China et Commerzbank AG).</w:t>
      </w:r>
    </w:p>
  </w:footnote>
  <w:footnote w:id="16">
    <w:p w:rsidR="003C400A" w:rsidRPr="00331109" w:rsidRDefault="003C400A" w:rsidP="003756A8">
      <w:pPr>
        <w:pStyle w:val="Notedebasdepage"/>
        <w:jc w:val="both"/>
        <w:rPr>
          <w:rFonts w:ascii="Times New Roman" w:hAnsi="Times New Roman" w:cs="Times New Roman"/>
        </w:rPr>
      </w:pPr>
      <w:r w:rsidRPr="00331109">
        <w:rPr>
          <w:rStyle w:val="Appelnotedebasdep"/>
          <w:rFonts w:ascii="Times New Roman" w:hAnsi="Times New Roman" w:cs="Times New Roman"/>
        </w:rPr>
        <w:footnoteRef/>
      </w:r>
      <w:r>
        <w:rPr>
          <w:rFonts w:ascii="Times New Roman" w:hAnsi="Times New Roman" w:cs="Times New Roman"/>
        </w:rPr>
        <w:t> Les outils, données et tests complémentaires</w:t>
      </w:r>
      <w:r w:rsidRPr="00331109">
        <w:rPr>
          <w:rFonts w:ascii="Times New Roman" w:hAnsi="Times New Roman" w:cs="Times New Roman"/>
        </w:rPr>
        <w:t xml:space="preserve"> de l’article </w:t>
      </w:r>
      <w:r>
        <w:rPr>
          <w:rFonts w:ascii="Times New Roman" w:hAnsi="Times New Roman" w:cs="Times New Roman"/>
        </w:rPr>
        <w:t xml:space="preserve">(base de données, grille de codage PIE/PIS, matrice de corrélation, programme R, test </w:t>
      </w:r>
      <w:proofErr w:type="spellStart"/>
      <w:r>
        <w:rPr>
          <w:rFonts w:ascii="Times New Roman" w:hAnsi="Times New Roman" w:cs="Times New Roman"/>
        </w:rPr>
        <w:t>Wilcoxon</w:t>
      </w:r>
      <w:proofErr w:type="spellEnd"/>
      <w:r>
        <w:rPr>
          <w:rFonts w:ascii="Times New Roman" w:hAnsi="Times New Roman" w:cs="Times New Roman"/>
        </w:rPr>
        <w:t xml:space="preserve">, autres modèles de régression) </w:t>
      </w:r>
      <w:r w:rsidRPr="00331109">
        <w:rPr>
          <w:rFonts w:ascii="Times New Roman" w:hAnsi="Times New Roman" w:cs="Times New Roman"/>
        </w:rPr>
        <w:t>sont consultables sur : ………………</w:t>
      </w:r>
    </w:p>
  </w:footnote>
  <w:footnote w:id="17">
    <w:p w:rsidR="003C400A" w:rsidRPr="003D1553" w:rsidRDefault="003C400A" w:rsidP="008B7E76">
      <w:pPr>
        <w:pStyle w:val="Notedebasdepage"/>
        <w:jc w:val="both"/>
        <w:rPr>
          <w:rFonts w:ascii="Times New Roman" w:hAnsi="Times New Roman" w:cs="Times New Roman"/>
          <w:sz w:val="18"/>
          <w:szCs w:val="18"/>
        </w:rPr>
      </w:pPr>
      <w:r w:rsidRPr="003D1553">
        <w:rPr>
          <w:rStyle w:val="Appelnotedebasdep"/>
          <w:rFonts w:ascii="Times New Roman" w:hAnsi="Times New Roman" w:cs="Times New Roman"/>
          <w:sz w:val="18"/>
          <w:szCs w:val="18"/>
        </w:rPr>
        <w:footnoteRef/>
      </w:r>
      <w:r>
        <w:rPr>
          <w:rFonts w:ascii="Times New Roman" w:hAnsi="Times New Roman" w:cs="Times New Roman"/>
          <w:sz w:val="18"/>
          <w:szCs w:val="18"/>
        </w:rPr>
        <w:t> </w:t>
      </w:r>
      <w:r w:rsidRPr="003D1553">
        <w:rPr>
          <w:rFonts w:ascii="Times New Roman" w:hAnsi="Times New Roman" w:cs="Times New Roman"/>
          <w:sz w:val="18"/>
          <w:szCs w:val="18"/>
        </w:rPr>
        <w:t xml:space="preserve">Voir la méthode de Carbone 4, </w:t>
      </w:r>
      <w:proofErr w:type="spellStart"/>
      <w:r w:rsidRPr="003D1553">
        <w:rPr>
          <w:rFonts w:ascii="Times New Roman" w:hAnsi="Times New Roman" w:cs="Times New Roman"/>
          <w:sz w:val="18"/>
          <w:szCs w:val="18"/>
        </w:rPr>
        <w:t>Carbon</w:t>
      </w:r>
      <w:proofErr w:type="spellEnd"/>
      <w:r w:rsidRPr="003D1553">
        <w:rPr>
          <w:rFonts w:ascii="Times New Roman" w:hAnsi="Times New Roman" w:cs="Times New Roman"/>
          <w:sz w:val="18"/>
          <w:szCs w:val="18"/>
        </w:rPr>
        <w:t xml:space="preserve"> Impact Analytics (http://www.carbone4.com/wp-content/uploads/2016/08/CarbonImpactAnalytics.pdf), et l’étude WRI – UNEP FI-2ii « Portfolio </w:t>
      </w:r>
      <w:proofErr w:type="spellStart"/>
      <w:r w:rsidRPr="003D1553">
        <w:rPr>
          <w:rFonts w:ascii="Times New Roman" w:hAnsi="Times New Roman" w:cs="Times New Roman"/>
          <w:sz w:val="18"/>
          <w:szCs w:val="18"/>
        </w:rPr>
        <w:t>Carbon</w:t>
      </w:r>
      <w:proofErr w:type="spellEnd"/>
      <w:r w:rsidRPr="003D1553">
        <w:rPr>
          <w:rFonts w:ascii="Times New Roman" w:hAnsi="Times New Roman" w:cs="Times New Roman"/>
          <w:sz w:val="18"/>
          <w:szCs w:val="18"/>
        </w:rPr>
        <w:t xml:space="preserve"> Initiative »</w:t>
      </w:r>
    </w:p>
    <w:p w:rsidR="003C400A" w:rsidRPr="003D1553" w:rsidRDefault="003C400A" w:rsidP="008B7E76">
      <w:pPr>
        <w:pStyle w:val="Notedebasdepage"/>
        <w:jc w:val="both"/>
        <w:rPr>
          <w:rFonts w:ascii="Times New Roman" w:hAnsi="Times New Roman" w:cs="Times New Roman"/>
          <w:sz w:val="18"/>
          <w:szCs w:val="18"/>
        </w:rPr>
      </w:pPr>
      <w:r w:rsidRPr="003D1553">
        <w:rPr>
          <w:rFonts w:ascii="Times New Roman" w:hAnsi="Times New Roman" w:cs="Times New Roman"/>
          <w:sz w:val="18"/>
          <w:szCs w:val="18"/>
        </w:rPr>
        <w:t>(</w:t>
      </w:r>
      <w:proofErr w:type="gramStart"/>
      <w:r w:rsidRPr="003D1553">
        <w:rPr>
          <w:rFonts w:ascii="Times New Roman" w:hAnsi="Times New Roman" w:cs="Times New Roman"/>
          <w:sz w:val="18"/>
          <w:szCs w:val="18"/>
        </w:rPr>
        <w:t>https://ghgprotocol.org/sites/default/files/standards/Exploring%20Metrics%20to%20Measure%20the%20Climate%20Progress%20of%20Banks.pdf</w:t>
      </w:r>
      <w:proofErr w:type="gramEnd"/>
      <w:r w:rsidRPr="003D1553">
        <w:rPr>
          <w:rFonts w:ascii="Times New Roman" w:hAnsi="Times New Roman" w:cs="Times New Roman"/>
          <w:sz w:val="18"/>
          <w:szCs w:val="18"/>
        </w:rPr>
        <w:t>).</w:t>
      </w:r>
    </w:p>
    <w:p w:rsidR="003C400A" w:rsidRDefault="003C400A" w:rsidP="00EB3251">
      <w:pPr>
        <w:pStyle w:val="Notedebasdepag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85DEE"/>
    <w:multiLevelType w:val="multilevel"/>
    <w:tmpl w:val="5C1E7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325401"/>
    <w:multiLevelType w:val="hybridMultilevel"/>
    <w:tmpl w:val="DE62DAA0"/>
    <w:lvl w:ilvl="0" w:tplc="E240556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02977"/>
    <w:multiLevelType w:val="multilevel"/>
    <w:tmpl w:val="0A7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D2C1E"/>
    <w:multiLevelType w:val="hybridMultilevel"/>
    <w:tmpl w:val="DBAE3B46"/>
    <w:lvl w:ilvl="0" w:tplc="B2FAAB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51"/>
    <w:rsid w:val="00027B99"/>
    <w:rsid w:val="00066A60"/>
    <w:rsid w:val="0007197F"/>
    <w:rsid w:val="000C1777"/>
    <w:rsid w:val="000C2FAB"/>
    <w:rsid w:val="000F255D"/>
    <w:rsid w:val="00106834"/>
    <w:rsid w:val="00115A02"/>
    <w:rsid w:val="00116300"/>
    <w:rsid w:val="001238DD"/>
    <w:rsid w:val="00151502"/>
    <w:rsid w:val="00176420"/>
    <w:rsid w:val="00180A51"/>
    <w:rsid w:val="001A2BF4"/>
    <w:rsid w:val="001A56F4"/>
    <w:rsid w:val="001F4682"/>
    <w:rsid w:val="001F78EC"/>
    <w:rsid w:val="00201E07"/>
    <w:rsid w:val="002076E4"/>
    <w:rsid w:val="00215467"/>
    <w:rsid w:val="002164E8"/>
    <w:rsid w:val="00255584"/>
    <w:rsid w:val="00260CF1"/>
    <w:rsid w:val="0030321F"/>
    <w:rsid w:val="0031162C"/>
    <w:rsid w:val="00331109"/>
    <w:rsid w:val="00335CEF"/>
    <w:rsid w:val="0037005E"/>
    <w:rsid w:val="003756A8"/>
    <w:rsid w:val="00376C36"/>
    <w:rsid w:val="003A3A2D"/>
    <w:rsid w:val="003B2625"/>
    <w:rsid w:val="003C400A"/>
    <w:rsid w:val="003D5BD0"/>
    <w:rsid w:val="003D6B2C"/>
    <w:rsid w:val="003E43DA"/>
    <w:rsid w:val="003F3EFA"/>
    <w:rsid w:val="00414D61"/>
    <w:rsid w:val="00422FBA"/>
    <w:rsid w:val="0042669B"/>
    <w:rsid w:val="00454682"/>
    <w:rsid w:val="0046692C"/>
    <w:rsid w:val="00497ED6"/>
    <w:rsid w:val="004A7CF9"/>
    <w:rsid w:val="004D51F3"/>
    <w:rsid w:val="004D6DEA"/>
    <w:rsid w:val="004E1ED3"/>
    <w:rsid w:val="004F09E3"/>
    <w:rsid w:val="004F4428"/>
    <w:rsid w:val="00501914"/>
    <w:rsid w:val="00547328"/>
    <w:rsid w:val="0054738A"/>
    <w:rsid w:val="005A1713"/>
    <w:rsid w:val="005B2E32"/>
    <w:rsid w:val="005B5440"/>
    <w:rsid w:val="005C092B"/>
    <w:rsid w:val="005E6CD6"/>
    <w:rsid w:val="0060210E"/>
    <w:rsid w:val="00623282"/>
    <w:rsid w:val="00671E86"/>
    <w:rsid w:val="006B11A5"/>
    <w:rsid w:val="006D14C1"/>
    <w:rsid w:val="006D3A4C"/>
    <w:rsid w:val="006F65E6"/>
    <w:rsid w:val="00701C13"/>
    <w:rsid w:val="00702DC5"/>
    <w:rsid w:val="00705967"/>
    <w:rsid w:val="00737147"/>
    <w:rsid w:val="00741904"/>
    <w:rsid w:val="00755B4D"/>
    <w:rsid w:val="007560D7"/>
    <w:rsid w:val="00774401"/>
    <w:rsid w:val="007B4D23"/>
    <w:rsid w:val="007B6DD2"/>
    <w:rsid w:val="007C2B9F"/>
    <w:rsid w:val="007D479A"/>
    <w:rsid w:val="007D765B"/>
    <w:rsid w:val="0081174E"/>
    <w:rsid w:val="00831720"/>
    <w:rsid w:val="00834B4F"/>
    <w:rsid w:val="008367B4"/>
    <w:rsid w:val="0083798E"/>
    <w:rsid w:val="00861E1A"/>
    <w:rsid w:val="00865091"/>
    <w:rsid w:val="0087624B"/>
    <w:rsid w:val="00883CF2"/>
    <w:rsid w:val="008960C5"/>
    <w:rsid w:val="008A4522"/>
    <w:rsid w:val="008B7E76"/>
    <w:rsid w:val="008D48CD"/>
    <w:rsid w:val="00900358"/>
    <w:rsid w:val="0095508F"/>
    <w:rsid w:val="0096393D"/>
    <w:rsid w:val="009933EC"/>
    <w:rsid w:val="009A2292"/>
    <w:rsid w:val="009A583E"/>
    <w:rsid w:val="009A69BF"/>
    <w:rsid w:val="009D10EC"/>
    <w:rsid w:val="009D5873"/>
    <w:rsid w:val="00A16228"/>
    <w:rsid w:val="00A5301D"/>
    <w:rsid w:val="00A6026B"/>
    <w:rsid w:val="00A87F33"/>
    <w:rsid w:val="00A91F35"/>
    <w:rsid w:val="00AA5A72"/>
    <w:rsid w:val="00B00380"/>
    <w:rsid w:val="00B05B6C"/>
    <w:rsid w:val="00B70EEA"/>
    <w:rsid w:val="00B940C8"/>
    <w:rsid w:val="00BB1111"/>
    <w:rsid w:val="00BD3009"/>
    <w:rsid w:val="00C32A08"/>
    <w:rsid w:val="00C36389"/>
    <w:rsid w:val="00C45676"/>
    <w:rsid w:val="00C55149"/>
    <w:rsid w:val="00C91DFA"/>
    <w:rsid w:val="00CA56D4"/>
    <w:rsid w:val="00CA6CFD"/>
    <w:rsid w:val="00CD5344"/>
    <w:rsid w:val="00CE1B15"/>
    <w:rsid w:val="00CF31B3"/>
    <w:rsid w:val="00D0173C"/>
    <w:rsid w:val="00D532B5"/>
    <w:rsid w:val="00D73AE5"/>
    <w:rsid w:val="00D816AC"/>
    <w:rsid w:val="00D87613"/>
    <w:rsid w:val="00D878E7"/>
    <w:rsid w:val="00D93D76"/>
    <w:rsid w:val="00DA02B4"/>
    <w:rsid w:val="00DB27EE"/>
    <w:rsid w:val="00DC6239"/>
    <w:rsid w:val="00DD1412"/>
    <w:rsid w:val="00DE2CFD"/>
    <w:rsid w:val="00E05A88"/>
    <w:rsid w:val="00E21985"/>
    <w:rsid w:val="00E21CDF"/>
    <w:rsid w:val="00E2706E"/>
    <w:rsid w:val="00E40A71"/>
    <w:rsid w:val="00E65D42"/>
    <w:rsid w:val="00E7422D"/>
    <w:rsid w:val="00E96995"/>
    <w:rsid w:val="00EB3251"/>
    <w:rsid w:val="00ED3EF2"/>
    <w:rsid w:val="00EF33D9"/>
    <w:rsid w:val="00F024E1"/>
    <w:rsid w:val="00F154EC"/>
    <w:rsid w:val="00F2578E"/>
    <w:rsid w:val="00F6008C"/>
    <w:rsid w:val="00FB5654"/>
    <w:rsid w:val="00FC7460"/>
    <w:rsid w:val="00FF1478"/>
    <w:rsid w:val="00FF58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41DF"/>
  <w15:chartTrackingRefBased/>
  <w15:docId w15:val="{1B990BD8-AD8D-4416-8541-028D22BB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2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251"/>
    <w:pPr>
      <w:ind w:left="720"/>
      <w:contextualSpacing/>
    </w:pPr>
  </w:style>
  <w:style w:type="table" w:styleId="Grilledutableau">
    <w:name w:val="Table Grid"/>
    <w:basedOn w:val="TableauNormal"/>
    <w:uiPriority w:val="39"/>
    <w:rsid w:val="00EB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B3251"/>
    <w:rPr>
      <w:color w:val="0563C1" w:themeColor="hyperlink"/>
      <w:u w:val="single"/>
    </w:rPr>
  </w:style>
  <w:style w:type="character" w:styleId="Marquedecommentaire">
    <w:name w:val="annotation reference"/>
    <w:basedOn w:val="Policepardfaut"/>
    <w:uiPriority w:val="99"/>
    <w:semiHidden/>
    <w:unhideWhenUsed/>
    <w:rsid w:val="00EB3251"/>
    <w:rPr>
      <w:sz w:val="16"/>
      <w:szCs w:val="16"/>
    </w:rPr>
  </w:style>
  <w:style w:type="paragraph" w:styleId="Commentaire">
    <w:name w:val="annotation text"/>
    <w:basedOn w:val="Normal"/>
    <w:link w:val="CommentaireCar"/>
    <w:uiPriority w:val="99"/>
    <w:semiHidden/>
    <w:unhideWhenUsed/>
    <w:rsid w:val="00EB3251"/>
    <w:pPr>
      <w:spacing w:line="240" w:lineRule="auto"/>
    </w:pPr>
    <w:rPr>
      <w:sz w:val="20"/>
      <w:szCs w:val="20"/>
    </w:rPr>
  </w:style>
  <w:style w:type="character" w:customStyle="1" w:styleId="CommentaireCar">
    <w:name w:val="Commentaire Car"/>
    <w:basedOn w:val="Policepardfaut"/>
    <w:link w:val="Commentaire"/>
    <w:uiPriority w:val="99"/>
    <w:semiHidden/>
    <w:rsid w:val="00EB3251"/>
    <w:rPr>
      <w:sz w:val="20"/>
      <w:szCs w:val="20"/>
    </w:rPr>
  </w:style>
  <w:style w:type="paragraph" w:styleId="Objetducommentaire">
    <w:name w:val="annotation subject"/>
    <w:basedOn w:val="Commentaire"/>
    <w:next w:val="Commentaire"/>
    <w:link w:val="ObjetducommentaireCar"/>
    <w:uiPriority w:val="99"/>
    <w:semiHidden/>
    <w:unhideWhenUsed/>
    <w:rsid w:val="00EB3251"/>
    <w:rPr>
      <w:b/>
      <w:bCs/>
    </w:rPr>
  </w:style>
  <w:style w:type="character" w:customStyle="1" w:styleId="ObjetducommentaireCar">
    <w:name w:val="Objet du commentaire Car"/>
    <w:basedOn w:val="CommentaireCar"/>
    <w:link w:val="Objetducommentaire"/>
    <w:uiPriority w:val="99"/>
    <w:semiHidden/>
    <w:rsid w:val="00EB3251"/>
    <w:rPr>
      <w:b/>
      <w:bCs/>
      <w:sz w:val="20"/>
      <w:szCs w:val="20"/>
    </w:rPr>
  </w:style>
  <w:style w:type="paragraph" w:styleId="Textedebulles">
    <w:name w:val="Balloon Text"/>
    <w:basedOn w:val="Normal"/>
    <w:link w:val="TextedebullesCar"/>
    <w:uiPriority w:val="99"/>
    <w:semiHidden/>
    <w:unhideWhenUsed/>
    <w:rsid w:val="00EB32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3251"/>
    <w:rPr>
      <w:rFonts w:ascii="Segoe UI" w:hAnsi="Segoe UI" w:cs="Segoe UI"/>
      <w:sz w:val="18"/>
      <w:szCs w:val="18"/>
    </w:rPr>
  </w:style>
  <w:style w:type="paragraph" w:styleId="Notedefin">
    <w:name w:val="endnote text"/>
    <w:basedOn w:val="Normal"/>
    <w:link w:val="NotedefinCar"/>
    <w:uiPriority w:val="99"/>
    <w:semiHidden/>
    <w:unhideWhenUsed/>
    <w:rsid w:val="00EB3251"/>
    <w:pPr>
      <w:spacing w:after="0" w:line="240" w:lineRule="auto"/>
    </w:pPr>
    <w:rPr>
      <w:sz w:val="20"/>
      <w:szCs w:val="20"/>
    </w:rPr>
  </w:style>
  <w:style w:type="character" w:customStyle="1" w:styleId="NotedefinCar">
    <w:name w:val="Note de fin Car"/>
    <w:basedOn w:val="Policepardfaut"/>
    <w:link w:val="Notedefin"/>
    <w:uiPriority w:val="99"/>
    <w:semiHidden/>
    <w:rsid w:val="00EB3251"/>
    <w:rPr>
      <w:sz w:val="20"/>
      <w:szCs w:val="20"/>
    </w:rPr>
  </w:style>
  <w:style w:type="character" w:styleId="Appeldenotedefin">
    <w:name w:val="endnote reference"/>
    <w:basedOn w:val="Policepardfaut"/>
    <w:uiPriority w:val="99"/>
    <w:semiHidden/>
    <w:unhideWhenUsed/>
    <w:rsid w:val="00EB3251"/>
    <w:rPr>
      <w:vertAlign w:val="superscript"/>
    </w:rPr>
  </w:style>
  <w:style w:type="paragraph" w:styleId="Notedebasdepage">
    <w:name w:val="footnote text"/>
    <w:basedOn w:val="Normal"/>
    <w:link w:val="NotedebasdepageCar"/>
    <w:uiPriority w:val="99"/>
    <w:semiHidden/>
    <w:unhideWhenUsed/>
    <w:rsid w:val="00EB325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3251"/>
    <w:rPr>
      <w:sz w:val="20"/>
      <w:szCs w:val="20"/>
    </w:rPr>
  </w:style>
  <w:style w:type="character" w:styleId="Appelnotedebasdep">
    <w:name w:val="footnote reference"/>
    <w:basedOn w:val="Policepardfaut"/>
    <w:uiPriority w:val="99"/>
    <w:semiHidden/>
    <w:unhideWhenUsed/>
    <w:rsid w:val="00EB3251"/>
    <w:rPr>
      <w:vertAlign w:val="superscript"/>
    </w:rPr>
  </w:style>
  <w:style w:type="paragraph" w:styleId="NormalWeb">
    <w:name w:val="Normal (Web)"/>
    <w:basedOn w:val="Normal"/>
    <w:uiPriority w:val="99"/>
    <w:semiHidden/>
    <w:unhideWhenUsed/>
    <w:rsid w:val="00EB32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B3251"/>
    <w:rPr>
      <w:i/>
      <w:iCs/>
    </w:rPr>
  </w:style>
  <w:style w:type="paragraph" w:styleId="En-tte">
    <w:name w:val="header"/>
    <w:basedOn w:val="Normal"/>
    <w:link w:val="En-tteCar"/>
    <w:uiPriority w:val="99"/>
    <w:unhideWhenUsed/>
    <w:rsid w:val="00EB3251"/>
    <w:pPr>
      <w:tabs>
        <w:tab w:val="center" w:pos="4536"/>
        <w:tab w:val="right" w:pos="9072"/>
      </w:tabs>
      <w:spacing w:after="0" w:line="240" w:lineRule="auto"/>
    </w:pPr>
  </w:style>
  <w:style w:type="character" w:customStyle="1" w:styleId="En-tteCar">
    <w:name w:val="En-tête Car"/>
    <w:basedOn w:val="Policepardfaut"/>
    <w:link w:val="En-tte"/>
    <w:uiPriority w:val="99"/>
    <w:rsid w:val="00EB3251"/>
  </w:style>
  <w:style w:type="paragraph" w:styleId="Pieddepage">
    <w:name w:val="footer"/>
    <w:basedOn w:val="Normal"/>
    <w:link w:val="PieddepageCar"/>
    <w:uiPriority w:val="99"/>
    <w:unhideWhenUsed/>
    <w:rsid w:val="00EB32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251"/>
  </w:style>
  <w:style w:type="table" w:customStyle="1" w:styleId="Grilledutableau1">
    <w:name w:val="Grille du tableau1"/>
    <w:basedOn w:val="TableauNormal"/>
    <w:next w:val="Grilledutableau"/>
    <w:uiPriority w:val="39"/>
    <w:rsid w:val="0042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42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p.net/en/search" TargetMode="External"/><Relationship Id="rId13" Type="http://schemas.openxmlformats.org/officeDocument/2006/relationships/hyperlink" Target="https://www.ran.org/bankingonclimatechange2020" TargetMode="External"/><Relationship Id="rId18" Type="http://schemas.openxmlformats.org/officeDocument/2006/relationships/hyperlink" Target="https://www.emerald.com/insight/search?q=H&#252;seyin%20Temiz" TargetMode="External"/><Relationship Id="rId3" Type="http://schemas.openxmlformats.org/officeDocument/2006/relationships/styles" Target="styles.xml"/><Relationship Id="rId21" Type="http://schemas.openxmlformats.org/officeDocument/2006/relationships/hyperlink" Target="http://dx.doi.org/10.2139/ssrn.3629608" TargetMode="External"/><Relationship Id="rId7" Type="http://schemas.openxmlformats.org/officeDocument/2006/relationships/endnotes" Target="endnotes.xml"/><Relationship Id="rId12" Type="http://schemas.openxmlformats.org/officeDocument/2006/relationships/hyperlink" Target="https://www.ran.org/bankingonclimatechange2020/" TargetMode="External"/><Relationship Id="rId17" Type="http://schemas.openxmlformats.org/officeDocument/2006/relationships/hyperlink" Target="https://www.emerald.com/insight/search?q=Merve%20Ac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dac.ciesin.columbia.edu/data/collection/epi/sets/browse" TargetMode="External"/><Relationship Id="rId20" Type="http://schemas.openxmlformats.org/officeDocument/2006/relationships/hyperlink" Target="https://babordplus.hosted.exlibrisgroup.com/primo-explore/fulldisplay?docid=TN_cdi_doaj_primary_oai_doaj_org_article_b920af94389f4c62b908e505c212cd6f&amp;context=PC&amp;vid=33PUDB_UB_VU1&amp;lang=fr_FR&amp;search_scope=catalog_pci&amp;adaptor=primo_central_multiple_fe&amp;tab=default_tab&amp;query=any,contains,climate%20information%20disclosure%20by%20banks&amp;offset=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track.org/searc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nktrack.org/search" TargetMode="External"/><Relationship Id="rId23" Type="http://schemas.openxmlformats.org/officeDocument/2006/relationships/footer" Target="footer1.xml"/><Relationship Id="rId10" Type="http://schemas.openxmlformats.org/officeDocument/2006/relationships/hyperlink" Target="https://www.banktrack.org/search" TargetMode="External"/><Relationship Id="rId19" Type="http://schemas.openxmlformats.org/officeDocument/2006/relationships/hyperlink" Target="https://www.emerald.com/insight/publication/issn/1746-8809" TargetMode="External"/><Relationship Id="rId4" Type="http://schemas.openxmlformats.org/officeDocument/2006/relationships/settings" Target="settings.xml"/><Relationship Id="rId9" Type="http://schemas.openxmlformats.org/officeDocument/2006/relationships/hyperlink" Target="https://database.globalreporting.org/" TargetMode="External"/><Relationship Id="rId14" Type="http://schemas.openxmlformats.org/officeDocument/2006/relationships/hyperlink" Target="https://www.macrotrends.net/" TargetMode="External"/><Relationship Id="rId22" Type="http://schemas.openxmlformats.org/officeDocument/2006/relationships/hyperlink" Target="http://dx.doi.org/10.2139/ssrn.3722973.%2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edac.ciesin.columbia.edu/data/collection/epi/sets/browse" TargetMode="External"/><Relationship Id="rId3" Type="http://schemas.openxmlformats.org/officeDocument/2006/relationships/hyperlink" Target="https://www.ran.org/wp-content/uploads/2020/03/Banking_on_Climate_Change__2020_vF.pdf" TargetMode="External"/><Relationship Id="rId7" Type="http://schemas.openxmlformats.org/officeDocument/2006/relationships/hyperlink" Target="https://guidance.cdp.net/en/guidance?cid=13&amp;ctype=theme&amp;idtype=ThemeID&amp;incchild=1&amp;microsite=0&amp;otype=Questionnaire&amp;tags=TAG-646,TAG-605,TAG-600" TargetMode="External"/><Relationship Id="rId2" Type="http://schemas.openxmlformats.org/officeDocument/2006/relationships/hyperlink" Target="https://carbontracker.org/reports/how-to-waste-over-half-a-trillion-dollars/" TargetMode="External"/><Relationship Id="rId1" Type="http://schemas.openxmlformats.org/officeDocument/2006/relationships/hyperlink" Target="https://www.globalwitness.org/en/campaigns/oil-gas-and-mining/overexposed/" TargetMode="External"/><Relationship Id="rId6" Type="http://schemas.openxmlformats.org/officeDocument/2006/relationships/hyperlink" Target="https://www.globalreporting.org/how-to-use-the-gri-standards/gri-standards-english-language/" TargetMode="External"/><Relationship Id="rId5" Type="http://schemas.openxmlformats.org/officeDocument/2006/relationships/hyperlink" Target="https://www.oxfamfrance.org/rapports/banques-des-engagements-climat-a-prendre-au-4eme-degre/" TargetMode="External"/><Relationship Id="rId4" Type="http://schemas.openxmlformats.org/officeDocument/2006/relationships/hyperlink" Target="https://shareaction.org/research-resources/banking-on-a-low-carbon-future-ii/" TargetMode="External"/><Relationship Id="rId9" Type="http://schemas.openxmlformats.org/officeDocument/2006/relationships/hyperlink" Target="https://ec.europa.eu/info/business-economy-euro/banking-and-finance/sustainable-finance/eu-taxonomy-sustainable-activities_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5F4-CD6D-4656-A4C5-92173BE0D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36</Pages>
  <Words>12085</Words>
  <Characters>66471</Characters>
  <Application>Microsoft Office Word</Application>
  <DocSecurity>0</DocSecurity>
  <Lines>553</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78</cp:revision>
  <cp:lastPrinted>2022-06-14T08:59:00Z</cp:lastPrinted>
  <dcterms:created xsi:type="dcterms:W3CDTF">2021-12-03T08:06:00Z</dcterms:created>
  <dcterms:modified xsi:type="dcterms:W3CDTF">2022-06-14T10:27:00Z</dcterms:modified>
</cp:coreProperties>
</file>