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</w:t>
      </w:r>
      <w:proofErr w:type="spellStart"/>
      <w:r>
        <w:t>Spork</w:t>
      </w:r>
      <w:proofErr w:type="spellEnd"/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847FF1" w:rsidRDefault="00847FF1" w:rsidP="00847F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Default="003970AB">
          <w:pPr>
            <w:pStyle w:val="En-ttedetabledesmatires"/>
          </w:pPr>
          <w:r>
            <w:t>Table des ma</w:t>
          </w:r>
          <w:bookmarkStart w:id="0" w:name="_GoBack"/>
          <w:bookmarkEnd w:id="0"/>
          <w:r>
            <w:t>tières</w:t>
          </w:r>
        </w:p>
        <w:p w:rsidR="004F7FC4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74096" w:history="1">
            <w:r w:rsidR="004F7FC4" w:rsidRPr="004C426A">
              <w:rPr>
                <w:rStyle w:val="Lienhypertexte"/>
                <w:noProof/>
              </w:rPr>
              <w:t>1.</w:t>
            </w:r>
            <w:r w:rsidR="004F7FC4">
              <w:rPr>
                <w:rFonts w:eastAsiaTheme="minorEastAsia"/>
                <w:noProof/>
                <w:lang w:eastAsia="fr-FR"/>
              </w:rPr>
              <w:tab/>
            </w:r>
            <w:r w:rsidR="004F7FC4" w:rsidRPr="004C426A">
              <w:rPr>
                <w:rStyle w:val="Lienhypertexte"/>
                <w:noProof/>
              </w:rPr>
              <w:t>Serveur de collection universel</w:t>
            </w:r>
            <w:r w:rsidR="004F7FC4">
              <w:rPr>
                <w:noProof/>
                <w:webHidden/>
              </w:rPr>
              <w:tab/>
            </w:r>
            <w:r w:rsidR="004F7FC4">
              <w:rPr>
                <w:noProof/>
                <w:webHidden/>
              </w:rPr>
              <w:fldChar w:fldCharType="begin"/>
            </w:r>
            <w:r w:rsidR="004F7FC4">
              <w:rPr>
                <w:noProof/>
                <w:webHidden/>
              </w:rPr>
              <w:instrText xml:space="preserve"> PAGEREF _Toc450674096 \h </w:instrText>
            </w:r>
            <w:r w:rsidR="004F7FC4">
              <w:rPr>
                <w:noProof/>
                <w:webHidden/>
              </w:rPr>
            </w:r>
            <w:r w:rsidR="004F7FC4">
              <w:rPr>
                <w:noProof/>
                <w:webHidden/>
              </w:rPr>
              <w:fldChar w:fldCharType="separate"/>
            </w:r>
            <w:r w:rsidR="004F7FC4">
              <w:rPr>
                <w:noProof/>
                <w:webHidden/>
              </w:rPr>
              <w:t>2</w:t>
            </w:r>
            <w:r w:rsidR="004F7FC4"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097" w:history="1">
            <w:r w:rsidRPr="004C426A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098" w:history="1">
            <w:r w:rsidRPr="004C426A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099" w:history="1">
            <w:r w:rsidRPr="004C426A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Réception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0" w:history="1">
            <w:r w:rsidRPr="004C426A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Emission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1" w:history="1">
            <w:r w:rsidRPr="004C426A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Service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2" w:history="1">
            <w:r w:rsidRPr="004C426A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Gestion des abonnements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3" w:history="1">
            <w:r w:rsidRPr="004C426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4" w:history="1">
            <w:r w:rsidRPr="004C426A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5" w:history="1">
            <w:r w:rsidRPr="004C426A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6" w:history="1">
            <w:r w:rsidRPr="004C426A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Déposer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7" w:history="1">
            <w:r w:rsidRPr="004C426A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Récupérer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8" w:history="1">
            <w:r w:rsidRPr="004C426A">
              <w:rPr>
                <w:rStyle w:val="Lienhypertexte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Récupération des informations sur la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09" w:history="1">
            <w:r w:rsidRPr="004C426A">
              <w:rPr>
                <w:rStyle w:val="Lienhypertexte"/>
                <w:noProof/>
              </w:rPr>
              <w:t>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Abonnement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10" w:history="1">
            <w:r w:rsidRPr="004C426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Serveur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FC4" w:rsidRDefault="004F7F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674111" w:history="1">
            <w:r w:rsidRPr="004C426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426A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0AB" w:rsidRDefault="003970AB">
          <w:r>
            <w:rPr>
              <w:b/>
              <w:bCs/>
            </w:rPr>
            <w:fldChar w:fldCharType="end"/>
          </w:r>
        </w:p>
      </w:sdtContent>
    </w:sdt>
    <w:p w:rsidR="0082048A" w:rsidRDefault="0082048A"/>
    <w:p w:rsidR="00466557" w:rsidRDefault="0046655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1" w:name="_Toc450674096"/>
      <w:r>
        <w:lastRenderedPageBreak/>
        <w:t>Serveur de collection u</w:t>
      </w:r>
      <w:r w:rsidR="004E1FD9">
        <w:t>niversel</w:t>
      </w:r>
      <w:bookmarkEnd w:id="1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2" w:name="_Toc450674097"/>
      <w:r>
        <w:t>Description</w:t>
      </w:r>
      <w:bookmarkEnd w:id="2"/>
    </w:p>
    <w:p w:rsidR="001C3A7F" w:rsidRPr="009C38B7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3" w:name="_Toc450674098"/>
      <w:r>
        <w:t>Collection</w:t>
      </w:r>
      <w:bookmarkEnd w:id="3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proofErr w:type="spellStart"/>
      <w:r w:rsidR="006B52DB">
        <w:t>HashMap</w:t>
      </w:r>
      <w:proofErr w:type="spellEnd"/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4" w:name="_Toc450674099"/>
      <w:r>
        <w:t>Réception d’un objet</w:t>
      </w:r>
      <w:bookmarkEnd w:id="4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5" w:name="_Toc450674100"/>
      <w:r>
        <w:t>Emission d’un objet</w:t>
      </w:r>
      <w:bookmarkEnd w:id="5"/>
    </w:p>
    <w:p w:rsidR="00A52FFF" w:rsidRPr="00A52FFF" w:rsidRDefault="006D4D92" w:rsidP="00A52FFF">
      <w:r>
        <w:t xml:space="preserve">Lorsqu’un objet est demandé par un client (méthode </w:t>
      </w:r>
      <w:proofErr w:type="spellStart"/>
      <w:r>
        <w:t>get</w:t>
      </w:r>
      <w:proofErr w:type="spellEnd"/>
      <w:r>
        <w:t>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</w:t>
      </w:r>
      <w:proofErr w:type="spellStart"/>
      <w:r w:rsidR="00DA410C">
        <w:t>DistantObject</w:t>
      </w:r>
      <w:proofErr w:type="spellEnd"/>
      <w:r w:rsidR="00DA410C">
        <w:t xml:space="preserve"> de façon à le rendre </w:t>
      </w:r>
      <w:proofErr w:type="spellStart"/>
      <w:r w:rsidR="00DA410C">
        <w:t>Serializable</w:t>
      </w:r>
      <w:proofErr w:type="spellEnd"/>
      <w:r w:rsidR="00DA410C">
        <w:t>, et le retourne.</w:t>
      </w:r>
      <w:r w:rsidR="00DE47CE">
        <w:t xml:space="preserve"> Ensuite, l’historique des clés demandées est mis à jour.</w:t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6" w:name="_Toc450674101"/>
      <w:r>
        <w:t>Service d’information</w:t>
      </w:r>
      <w:bookmarkEnd w:id="6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Pr="00E075A6" w:rsidRDefault="0059751F" w:rsidP="0059751F">
      <w:pPr>
        <w:pStyle w:val="Titre2"/>
        <w:numPr>
          <w:ilvl w:val="1"/>
          <w:numId w:val="3"/>
        </w:numPr>
      </w:pPr>
      <w:bookmarkStart w:id="7" w:name="_Toc450674102"/>
      <w:r>
        <w:lastRenderedPageBreak/>
        <w:t>Gestion des abonnements ?</w:t>
      </w:r>
      <w:bookmarkEnd w:id="7"/>
    </w:p>
    <w:p w:rsidR="00C34722" w:rsidRDefault="004E1FD9" w:rsidP="00C34722">
      <w:pPr>
        <w:pStyle w:val="Titre1"/>
      </w:pPr>
      <w:bookmarkStart w:id="8" w:name="_Toc450674103"/>
      <w:r>
        <w:t>Client</w:t>
      </w:r>
      <w:bookmarkEnd w:id="8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9" w:name="_Toc450674104"/>
      <w:r>
        <w:t>Description</w:t>
      </w:r>
      <w:bookmarkEnd w:id="9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10" w:name="_Toc450674105"/>
      <w:r>
        <w:t>Connexion</w:t>
      </w:r>
      <w:bookmarkEnd w:id="10"/>
    </w:p>
    <w:p w:rsidR="000F4F88" w:rsidRPr="000F4F88" w:rsidRDefault="009D6EA3" w:rsidP="000F4F88">
      <w:r>
        <w:t xml:space="preserve">La connexion d’un client est représentée par la récupération de l’objet distant </w:t>
      </w:r>
      <w:proofErr w:type="spellStart"/>
      <w:r>
        <w:t>CollectionServer</w:t>
      </w:r>
      <w:proofErr w:type="spellEnd"/>
      <w:r>
        <w:t xml:space="preserve">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1" w:name="_Toc450674106"/>
      <w:r>
        <w:t>Déposer une Donnée ou un Service</w:t>
      </w:r>
      <w:bookmarkEnd w:id="11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</w:t>
      </w:r>
      <w:proofErr w:type="spellStart"/>
      <w:r w:rsidR="002D6A39">
        <w:t>DataInterface</w:t>
      </w:r>
      <w:proofErr w:type="spellEnd"/>
      <w:r w:rsidR="002D6A39">
        <w:t xml:space="preserve"> pour les données ou l’interface </w:t>
      </w:r>
      <w:proofErr w:type="spellStart"/>
      <w:r w:rsidR="002D6A39">
        <w:t>ServiceInterface</w:t>
      </w:r>
      <w:proofErr w:type="spellEnd"/>
      <w:r w:rsidR="002D6A39">
        <w:t xml:space="preserve">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2" w:name="_Toc450674107"/>
      <w:r>
        <w:t>Récupérer une Donnée</w:t>
      </w:r>
      <w:r w:rsidR="002523D8">
        <w:t xml:space="preserve"> ou un Service</w:t>
      </w:r>
      <w:bookmarkEnd w:id="12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</w:t>
      </w:r>
      <w:proofErr w:type="spellStart"/>
      <w:r w:rsidR="001209A2">
        <w:t>get</w:t>
      </w:r>
      <w:proofErr w:type="spellEnd"/>
      <w:r w:rsidR="001209A2">
        <w:t>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</w:t>
      </w:r>
      <w:proofErr w:type="spellStart"/>
      <w:r w:rsidR="00F46062">
        <w:t>caster</w:t>
      </w:r>
      <w:proofErr w:type="spellEnd"/>
      <w:r w:rsidR="00F46062">
        <w:t xml:space="preserve"> en service à l’aide de l’interface </w:t>
      </w:r>
      <w:proofErr w:type="spellStart"/>
      <w:r w:rsidR="00F46062">
        <w:t>ServiceInterface</w:t>
      </w:r>
      <w:proofErr w:type="spellEnd"/>
      <w:r w:rsidR="00F46062">
        <w:t xml:space="preserve">. Si le </w:t>
      </w:r>
      <w:proofErr w:type="spellStart"/>
      <w:r w:rsidR="00F46062">
        <w:t>cast</w:t>
      </w:r>
      <w:proofErr w:type="spellEnd"/>
      <w:r w:rsidR="00F46062">
        <w:t xml:space="preserve"> échoue, il </w:t>
      </w:r>
      <w:proofErr w:type="gramStart"/>
      <w:r w:rsidR="00410AA2">
        <w:t xml:space="preserve">le </w:t>
      </w:r>
      <w:r w:rsidR="00F46062">
        <w:t>caste</w:t>
      </w:r>
      <w:proofErr w:type="gramEnd"/>
      <w:r w:rsidR="00F46062">
        <w:t xml:space="preserve"> alors en donnée à l’aide de l’interface </w:t>
      </w:r>
      <w:proofErr w:type="spellStart"/>
      <w:r w:rsidR="00F46062">
        <w:t>DataInterface</w:t>
      </w:r>
      <w:proofErr w:type="spellEnd"/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3" w:name="_Toc450674108"/>
      <w:r>
        <w:t>Récupération des informations sur la collection</w:t>
      </w:r>
      <w:bookmarkEnd w:id="13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4" w:name="_Toc450674109"/>
      <w:r>
        <w:t>Abonnement</w:t>
      </w:r>
      <w:r w:rsidR="0041316A">
        <w:t> ?</w:t>
      </w:r>
      <w:bookmarkEnd w:id="14"/>
    </w:p>
    <w:p w:rsidR="00F03D40" w:rsidRPr="00F03D40" w:rsidRDefault="00F03D40" w:rsidP="00F03D40">
      <w:proofErr w:type="spellStart"/>
      <w:proofErr w:type="gramStart"/>
      <w:r>
        <w:t>bla</w:t>
      </w:r>
      <w:proofErr w:type="spellEnd"/>
      <w:proofErr w:type="gramEnd"/>
    </w:p>
    <w:p w:rsidR="004E1FD9" w:rsidRDefault="004E1FD9" w:rsidP="004E1FD9">
      <w:pPr>
        <w:pStyle w:val="Titre1"/>
      </w:pPr>
      <w:bookmarkStart w:id="15" w:name="_Toc450674110"/>
      <w:r>
        <w:t>Serveur de classe</w:t>
      </w:r>
      <w:r w:rsidR="003C0E7D">
        <w:t>s</w:t>
      </w:r>
      <w:bookmarkEnd w:id="15"/>
    </w:p>
    <w:p w:rsidR="000A3BF0" w:rsidRP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</w:t>
      </w:r>
      <w:r w:rsidR="00AE02BA">
        <w:lastRenderedPageBreak/>
        <w:t xml:space="preserve">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294E7D" w:rsidRDefault="001D0403" w:rsidP="00E075A6">
      <w:pPr>
        <w:pStyle w:val="Titre1"/>
      </w:pPr>
      <w:bookmarkStart w:id="16" w:name="_Toc450674111"/>
      <w:r>
        <w:t>Utilisation</w:t>
      </w:r>
      <w:bookmarkEnd w:id="16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Pr="00E075A6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sectPr w:rsidR="00EA4290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1E" w:rsidRDefault="0001211E" w:rsidP="007D265C">
      <w:pPr>
        <w:spacing w:after="0" w:line="240" w:lineRule="auto"/>
      </w:pPr>
      <w:r>
        <w:separator/>
      </w:r>
    </w:p>
  </w:endnote>
  <w:endnote w:type="continuationSeparator" w:id="0">
    <w:p w:rsidR="0001211E" w:rsidRDefault="0001211E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FC4">
          <w:rPr>
            <w:noProof/>
          </w:rPr>
          <w:t>4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1E" w:rsidRDefault="0001211E" w:rsidP="007D265C">
      <w:pPr>
        <w:spacing w:after="0" w:line="240" w:lineRule="auto"/>
      </w:pPr>
      <w:r>
        <w:separator/>
      </w:r>
    </w:p>
  </w:footnote>
  <w:footnote w:type="continuationSeparator" w:id="0">
    <w:p w:rsidR="0001211E" w:rsidRDefault="0001211E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76E23"/>
    <w:rsid w:val="00090219"/>
    <w:rsid w:val="000A3BF0"/>
    <w:rsid w:val="000B4A3C"/>
    <w:rsid w:val="000D7E09"/>
    <w:rsid w:val="000E1CB4"/>
    <w:rsid w:val="000E7ACF"/>
    <w:rsid w:val="000F383A"/>
    <w:rsid w:val="000F4F88"/>
    <w:rsid w:val="0010218B"/>
    <w:rsid w:val="001139A3"/>
    <w:rsid w:val="001209A2"/>
    <w:rsid w:val="00121D82"/>
    <w:rsid w:val="00180DC6"/>
    <w:rsid w:val="0018332B"/>
    <w:rsid w:val="00183E1B"/>
    <w:rsid w:val="001A203B"/>
    <w:rsid w:val="001A79CC"/>
    <w:rsid w:val="001B453E"/>
    <w:rsid w:val="001B611E"/>
    <w:rsid w:val="001B69D4"/>
    <w:rsid w:val="001C1ED1"/>
    <w:rsid w:val="001C3A7F"/>
    <w:rsid w:val="001C7F85"/>
    <w:rsid w:val="001D0403"/>
    <w:rsid w:val="00201711"/>
    <w:rsid w:val="00203546"/>
    <w:rsid w:val="002523D8"/>
    <w:rsid w:val="00261A55"/>
    <w:rsid w:val="00264443"/>
    <w:rsid w:val="00287637"/>
    <w:rsid w:val="00287BFC"/>
    <w:rsid w:val="00294E7D"/>
    <w:rsid w:val="002A7672"/>
    <w:rsid w:val="002C03FE"/>
    <w:rsid w:val="002D6A39"/>
    <w:rsid w:val="002F1012"/>
    <w:rsid w:val="00306FB2"/>
    <w:rsid w:val="0032005F"/>
    <w:rsid w:val="00323D54"/>
    <w:rsid w:val="00324B0D"/>
    <w:rsid w:val="00345D14"/>
    <w:rsid w:val="00362FDF"/>
    <w:rsid w:val="003646F2"/>
    <w:rsid w:val="00372032"/>
    <w:rsid w:val="00376E39"/>
    <w:rsid w:val="003970AB"/>
    <w:rsid w:val="003A44CD"/>
    <w:rsid w:val="003C0E7D"/>
    <w:rsid w:val="003C5579"/>
    <w:rsid w:val="003F5529"/>
    <w:rsid w:val="00410AA2"/>
    <w:rsid w:val="00411579"/>
    <w:rsid w:val="0041316A"/>
    <w:rsid w:val="0044470C"/>
    <w:rsid w:val="00466557"/>
    <w:rsid w:val="004707CC"/>
    <w:rsid w:val="00482B92"/>
    <w:rsid w:val="004843D2"/>
    <w:rsid w:val="0049627B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F0016"/>
    <w:rsid w:val="005F0544"/>
    <w:rsid w:val="006049B7"/>
    <w:rsid w:val="00612276"/>
    <w:rsid w:val="0061643C"/>
    <w:rsid w:val="00640C8F"/>
    <w:rsid w:val="00642C76"/>
    <w:rsid w:val="006507F0"/>
    <w:rsid w:val="00671411"/>
    <w:rsid w:val="0067276E"/>
    <w:rsid w:val="0068303B"/>
    <w:rsid w:val="006837E1"/>
    <w:rsid w:val="006A0325"/>
    <w:rsid w:val="006A0880"/>
    <w:rsid w:val="006B207B"/>
    <w:rsid w:val="006B3544"/>
    <w:rsid w:val="006B52DB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72360"/>
    <w:rsid w:val="00891D09"/>
    <w:rsid w:val="008A4623"/>
    <w:rsid w:val="008A476C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4B69"/>
    <w:rsid w:val="009F1C48"/>
    <w:rsid w:val="00A2308D"/>
    <w:rsid w:val="00A34187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634B7"/>
    <w:rsid w:val="00B7195B"/>
    <w:rsid w:val="00B82747"/>
    <w:rsid w:val="00B94D60"/>
    <w:rsid w:val="00BB3EFD"/>
    <w:rsid w:val="00BB51DB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E79A7"/>
    <w:rsid w:val="00D32BD1"/>
    <w:rsid w:val="00D560A6"/>
    <w:rsid w:val="00D83495"/>
    <w:rsid w:val="00DA410C"/>
    <w:rsid w:val="00DA52A7"/>
    <w:rsid w:val="00DE2854"/>
    <w:rsid w:val="00DE47CE"/>
    <w:rsid w:val="00E00E2C"/>
    <w:rsid w:val="00E075A6"/>
    <w:rsid w:val="00E13D39"/>
    <w:rsid w:val="00E257BD"/>
    <w:rsid w:val="00E400D6"/>
    <w:rsid w:val="00E872A3"/>
    <w:rsid w:val="00E94968"/>
    <w:rsid w:val="00EA4290"/>
    <w:rsid w:val="00EB265E"/>
    <w:rsid w:val="00EB5E81"/>
    <w:rsid w:val="00EE3687"/>
    <w:rsid w:val="00F03D40"/>
    <w:rsid w:val="00F35DB8"/>
    <w:rsid w:val="00F41AB8"/>
    <w:rsid w:val="00F41E4C"/>
    <w:rsid w:val="00F46062"/>
    <w:rsid w:val="00F82B05"/>
    <w:rsid w:val="00F928A0"/>
    <w:rsid w:val="00FA5819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8F605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02A42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96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94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5D25-DFBD-4B92-89B9-E0F19215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198</cp:revision>
  <cp:lastPrinted>2016-05-05T19:23:00Z</cp:lastPrinted>
  <dcterms:created xsi:type="dcterms:W3CDTF">2016-05-04T12:06:00Z</dcterms:created>
  <dcterms:modified xsi:type="dcterms:W3CDTF">2016-05-10T18:06:00Z</dcterms:modified>
</cp:coreProperties>
</file>