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FBD" w:rsidRDefault="005851D1" w:rsidP="005851D1">
      <w:pPr>
        <w:pStyle w:val="Titre1"/>
      </w:pPr>
      <w:r>
        <w:t>Comparaison Roy Dauvergne VS Elvire &amp; Michaël</w:t>
      </w:r>
    </w:p>
    <w:p w:rsidR="005851D1" w:rsidRDefault="005851D1"/>
    <w:p w:rsidR="005851D1" w:rsidRDefault="005851D1">
      <w:r>
        <w:t xml:space="preserve">Roy Dauvergne (voir </w:t>
      </w:r>
      <w:hyperlink r:id="rId6" w:history="1">
        <w:r w:rsidRPr="005851D1">
          <w:rPr>
            <w:rStyle w:val="Lienhypertexte"/>
          </w:rPr>
          <w:t>Dauvergne2012</w:t>
        </w:r>
      </w:hyperlink>
      <w:r>
        <w:t xml:space="preserve">) a effectué une évaluation de l’effet </w:t>
      </w:r>
      <w:proofErr w:type="spellStart"/>
      <w:r>
        <w:t>redistributif</w:t>
      </w:r>
      <w:proofErr w:type="spellEnd"/>
      <w:r>
        <w:t xml:space="preserve"> des taxes à la consommation en France en se basant sur l’enquête budget des familles et les données de l’INSEE.</w:t>
      </w:r>
    </w:p>
    <w:p w:rsidR="005851D1" w:rsidRDefault="005851D1">
      <w:proofErr w:type="spellStart"/>
      <w:r>
        <w:t>Méthodo</w:t>
      </w:r>
      <w:proofErr w:type="spellEnd"/>
      <w:r>
        <w:t> :</w:t>
      </w:r>
    </w:p>
    <w:p w:rsidR="005851D1" w:rsidRDefault="005851D1" w:rsidP="005851D1">
      <w:pPr>
        <w:pStyle w:val="Paragraphedeliste"/>
        <w:numPr>
          <w:ilvl w:val="0"/>
          <w:numId w:val="1"/>
        </w:numPr>
      </w:pPr>
      <w:r>
        <w:t>Récupération des données de conso et de revenus des ménages via BDF</w:t>
      </w:r>
    </w:p>
    <w:p w:rsidR="005851D1" w:rsidRDefault="005851D1" w:rsidP="005851D1">
      <w:pPr>
        <w:pStyle w:val="Paragraphedeliste"/>
        <w:numPr>
          <w:ilvl w:val="0"/>
          <w:numId w:val="1"/>
        </w:numPr>
      </w:pPr>
      <w:r>
        <w:t>Calage par rapport aux données de comptabilité nationale</w:t>
      </w:r>
    </w:p>
    <w:p w:rsidR="005851D1" w:rsidRDefault="005851D1" w:rsidP="005851D1">
      <w:pPr>
        <w:pStyle w:val="Paragraphedeliste"/>
        <w:numPr>
          <w:ilvl w:val="0"/>
          <w:numId w:val="1"/>
        </w:numPr>
      </w:pPr>
      <w:r>
        <w:t>Application des taux statutaires en fonction de la compo du panier</w:t>
      </w:r>
    </w:p>
    <w:p w:rsidR="005851D1" w:rsidRDefault="005851D1" w:rsidP="005851D1">
      <w:proofErr w:type="spellStart"/>
      <w:r>
        <w:t>Méthodo</w:t>
      </w:r>
      <w:proofErr w:type="spellEnd"/>
      <w:r>
        <w:t xml:space="preserve"> d’E&amp;M : </w:t>
      </w:r>
    </w:p>
    <w:p w:rsidR="005851D1" w:rsidRDefault="005851D1" w:rsidP="005851D1">
      <w:pPr>
        <w:pStyle w:val="Paragraphedeliste"/>
        <w:numPr>
          <w:ilvl w:val="0"/>
          <w:numId w:val="2"/>
        </w:numPr>
      </w:pPr>
      <w:r>
        <w:t>Récupération données Eurostat sur le niveau de consommation de chaque quintile de revenus</w:t>
      </w:r>
    </w:p>
    <w:p w:rsidR="005851D1" w:rsidRDefault="005851D1" w:rsidP="005851D1">
      <w:pPr>
        <w:pStyle w:val="Paragraphedeliste"/>
        <w:numPr>
          <w:ilvl w:val="0"/>
          <w:numId w:val="2"/>
        </w:numPr>
      </w:pPr>
      <w:r>
        <w:t>Calage de celle-ci sur les données de compta nationale</w:t>
      </w:r>
    </w:p>
    <w:p w:rsidR="005851D1" w:rsidRDefault="005851D1" w:rsidP="005851D1">
      <w:pPr>
        <w:pStyle w:val="Paragraphedeliste"/>
        <w:numPr>
          <w:ilvl w:val="0"/>
          <w:numId w:val="2"/>
        </w:numPr>
      </w:pPr>
      <w:r>
        <w:t xml:space="preserve">Application du taux implicite calculé via les données de finances publiques et de compta </w:t>
      </w:r>
      <w:proofErr w:type="spellStart"/>
      <w:r>
        <w:t>nat</w:t>
      </w:r>
      <w:proofErr w:type="spellEnd"/>
    </w:p>
    <w:p w:rsidR="005851D1" w:rsidRDefault="005851D1" w:rsidP="005851D1">
      <w:pPr>
        <w:pStyle w:val="Titre2"/>
      </w:pPr>
      <w:r>
        <w:t>Niveau de taux payé</w:t>
      </w:r>
    </w:p>
    <w:p w:rsidR="005851D1" w:rsidRDefault="005851D1" w:rsidP="005851D1">
      <w:pPr>
        <w:pStyle w:val="Titre3"/>
      </w:pPr>
      <w:r>
        <w:t>Selon Roy Dauvergne</w:t>
      </w:r>
    </w:p>
    <w:p w:rsidR="005851D1" w:rsidRDefault="005851D1" w:rsidP="005851D1">
      <w:r>
        <w:rPr>
          <w:noProof/>
          <w:lang w:eastAsia="fr-FR"/>
        </w:rPr>
        <w:drawing>
          <wp:inline distT="0" distB="0" distL="0" distR="0" wp14:anchorId="2F8369D3" wp14:editId="65AD4F61">
            <wp:extent cx="5760720" cy="402870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A4" w:rsidRDefault="00986FA4" w:rsidP="005851D1"/>
    <w:p w:rsidR="00986FA4" w:rsidRDefault="00986FA4" w:rsidP="00986FA4">
      <w:r>
        <w:lastRenderedPageBreak/>
        <w:t>Les deux premières colonnes sont récupérées sur le document, elles correspondent à :</w:t>
      </w:r>
    </w:p>
    <w:p w:rsidR="00986FA4" w:rsidRPr="00986FA4" w:rsidRDefault="00986FA4" w:rsidP="00986F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tax</m:t>
              </m:r>
            </m:num>
            <m:den>
              <m:r>
                <w:rPr>
                  <w:rFonts w:ascii="Cambria Math" w:hAnsi="Cambria Math"/>
                </w:rPr>
                <m:t>conso</m:t>
              </m:r>
            </m:den>
          </m:f>
        </m:oMath>
      </m:oMathPara>
    </w:p>
    <w:p w:rsidR="00986FA4" w:rsidRPr="00986FA4" w:rsidRDefault="00986FA4" w:rsidP="00986F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loyer</m:t>
              </m:r>
            </m:num>
            <m:den>
              <m:r>
                <w:rPr>
                  <w:rFonts w:ascii="Cambria Math" w:hAnsi="Cambria Math"/>
                </w:rPr>
                <m:t>conso</m:t>
              </m:r>
            </m:den>
          </m:f>
        </m:oMath>
      </m:oMathPara>
    </w:p>
    <w:p w:rsidR="00986FA4" w:rsidRDefault="00986FA4" w:rsidP="00986FA4">
      <w:r>
        <w:t>Le troisième taux est calculé, il correspond à :</w:t>
      </w:r>
    </w:p>
    <w:p w:rsidR="00986FA4" w:rsidRPr="00986FA4" w:rsidRDefault="00986FA4" w:rsidP="00986F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tax</m:t>
              </m:r>
            </m:num>
            <m:den>
              <m:r>
                <w:rPr>
                  <w:rFonts w:ascii="Cambria Math" w:hAnsi="Cambria Math"/>
                </w:rPr>
                <m:t>conso+loyer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986FA4" w:rsidRPr="00986FA4" w:rsidRDefault="00986FA4" w:rsidP="00986FA4">
      <w:pPr>
        <w:rPr>
          <w:rFonts w:eastAsiaTheme="minorEastAsia"/>
        </w:rPr>
      </w:pPr>
      <w:r>
        <w:t xml:space="preserve"> </w:t>
      </w:r>
    </w:p>
    <w:tbl>
      <w:tblPr>
        <w:tblStyle w:val="Grilledutableau"/>
        <w:tblW w:w="9607" w:type="dxa"/>
        <w:tblLook w:val="04A0" w:firstRow="1" w:lastRow="0" w:firstColumn="1" w:lastColumn="0" w:noHBand="0" w:noVBand="1"/>
      </w:tblPr>
      <w:tblGrid>
        <w:gridCol w:w="2520"/>
        <w:gridCol w:w="2570"/>
        <w:gridCol w:w="2351"/>
        <w:gridCol w:w="2166"/>
      </w:tblGrid>
      <w:tr w:rsidR="00986FA4" w:rsidTr="000017D3">
        <w:trPr>
          <w:trHeight w:val="953"/>
        </w:trPr>
        <w:tc>
          <w:tcPr>
            <w:tcW w:w="2520" w:type="dxa"/>
          </w:tcPr>
          <w:p w:rsidR="00986FA4" w:rsidRDefault="00986FA4" w:rsidP="000017D3">
            <w:r>
              <w:t>Décile</w:t>
            </w:r>
          </w:p>
        </w:tc>
        <w:tc>
          <w:tcPr>
            <w:tcW w:w="2570" w:type="dxa"/>
          </w:tcPr>
          <w:p w:rsidR="00986FA4" w:rsidRDefault="00986FA4" w:rsidP="000017D3">
            <w:r>
              <w:t>Taux de taxes payées dans la conso (hors loyer) en %</w:t>
            </w:r>
          </w:p>
        </w:tc>
        <w:tc>
          <w:tcPr>
            <w:tcW w:w="2351" w:type="dxa"/>
          </w:tcPr>
          <w:p w:rsidR="00986FA4" w:rsidRDefault="00986FA4" w:rsidP="000017D3">
            <w:r>
              <w:t>Taux de loyer dans la conso en %</w:t>
            </w:r>
          </w:p>
        </w:tc>
        <w:tc>
          <w:tcPr>
            <w:tcW w:w="2166" w:type="dxa"/>
          </w:tcPr>
          <w:p w:rsidR="00986FA4" w:rsidRDefault="00986FA4" w:rsidP="000017D3">
            <w:r>
              <w:t>Taux de taxes payées dans la conso (loyer compris)</w:t>
            </w:r>
          </w:p>
        </w:tc>
      </w:tr>
      <w:tr w:rsidR="00986FA4" w:rsidTr="000017D3">
        <w:trPr>
          <w:trHeight w:val="284"/>
        </w:trPr>
        <w:tc>
          <w:tcPr>
            <w:tcW w:w="2520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570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15,4</w:t>
            </w:r>
          </w:p>
        </w:tc>
        <w:tc>
          <w:tcPr>
            <w:tcW w:w="2351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2166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11,76</w:t>
            </w:r>
          </w:p>
        </w:tc>
      </w:tr>
      <w:tr w:rsidR="00986FA4" w:rsidTr="000017D3">
        <w:trPr>
          <w:trHeight w:val="272"/>
        </w:trPr>
        <w:tc>
          <w:tcPr>
            <w:tcW w:w="2520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570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15,8</w:t>
            </w:r>
          </w:p>
        </w:tc>
        <w:tc>
          <w:tcPr>
            <w:tcW w:w="2351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2166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12,15</w:t>
            </w:r>
          </w:p>
        </w:tc>
      </w:tr>
      <w:tr w:rsidR="00986FA4" w:rsidTr="000017D3">
        <w:trPr>
          <w:trHeight w:val="272"/>
        </w:trPr>
        <w:tc>
          <w:tcPr>
            <w:tcW w:w="2520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570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15,2</w:t>
            </w:r>
          </w:p>
        </w:tc>
        <w:tc>
          <w:tcPr>
            <w:tcW w:w="2351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27,5</w:t>
            </w:r>
          </w:p>
        </w:tc>
        <w:tc>
          <w:tcPr>
            <w:tcW w:w="2166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11,92</w:t>
            </w:r>
          </w:p>
        </w:tc>
      </w:tr>
      <w:tr w:rsidR="00986FA4" w:rsidTr="000017D3">
        <w:trPr>
          <w:trHeight w:val="272"/>
        </w:trPr>
        <w:tc>
          <w:tcPr>
            <w:tcW w:w="2520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570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15,4</w:t>
            </w:r>
          </w:p>
        </w:tc>
        <w:tc>
          <w:tcPr>
            <w:tcW w:w="2351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26,5</w:t>
            </w:r>
          </w:p>
        </w:tc>
        <w:tc>
          <w:tcPr>
            <w:tcW w:w="2166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12,17</w:t>
            </w:r>
          </w:p>
        </w:tc>
      </w:tr>
      <w:tr w:rsidR="00986FA4" w:rsidTr="000017D3">
        <w:trPr>
          <w:trHeight w:val="284"/>
        </w:trPr>
        <w:tc>
          <w:tcPr>
            <w:tcW w:w="2520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570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15,5</w:t>
            </w:r>
          </w:p>
        </w:tc>
        <w:tc>
          <w:tcPr>
            <w:tcW w:w="2351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2166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12,30</w:t>
            </w:r>
          </w:p>
        </w:tc>
      </w:tr>
      <w:tr w:rsidR="00986FA4" w:rsidTr="000017D3">
        <w:trPr>
          <w:trHeight w:val="272"/>
        </w:trPr>
        <w:tc>
          <w:tcPr>
            <w:tcW w:w="2520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2570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15,5</w:t>
            </w:r>
          </w:p>
        </w:tc>
        <w:tc>
          <w:tcPr>
            <w:tcW w:w="2351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24,5</w:t>
            </w:r>
          </w:p>
        </w:tc>
        <w:tc>
          <w:tcPr>
            <w:tcW w:w="2166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12,45</w:t>
            </w:r>
          </w:p>
        </w:tc>
      </w:tr>
      <w:tr w:rsidR="00986FA4" w:rsidTr="000017D3">
        <w:trPr>
          <w:trHeight w:val="272"/>
        </w:trPr>
        <w:tc>
          <w:tcPr>
            <w:tcW w:w="2520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2570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2351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23,5</w:t>
            </w:r>
          </w:p>
        </w:tc>
        <w:tc>
          <w:tcPr>
            <w:tcW w:w="2166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12,15</w:t>
            </w:r>
          </w:p>
        </w:tc>
      </w:tr>
      <w:tr w:rsidR="00986FA4" w:rsidTr="000017D3">
        <w:trPr>
          <w:trHeight w:val="272"/>
        </w:trPr>
        <w:tc>
          <w:tcPr>
            <w:tcW w:w="2520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2570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15,2</w:t>
            </w:r>
          </w:p>
        </w:tc>
        <w:tc>
          <w:tcPr>
            <w:tcW w:w="2351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22,5</w:t>
            </w:r>
          </w:p>
        </w:tc>
        <w:tc>
          <w:tcPr>
            <w:tcW w:w="2166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12,41</w:t>
            </w:r>
          </w:p>
        </w:tc>
      </w:tr>
      <w:tr w:rsidR="00986FA4" w:rsidTr="000017D3">
        <w:trPr>
          <w:trHeight w:val="284"/>
        </w:trPr>
        <w:tc>
          <w:tcPr>
            <w:tcW w:w="2520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2570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14,8</w:t>
            </w:r>
          </w:p>
        </w:tc>
        <w:tc>
          <w:tcPr>
            <w:tcW w:w="2351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22,5</w:t>
            </w:r>
          </w:p>
        </w:tc>
        <w:tc>
          <w:tcPr>
            <w:tcW w:w="2166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12,08</w:t>
            </w:r>
          </w:p>
        </w:tc>
      </w:tr>
      <w:tr w:rsidR="00986FA4" w:rsidTr="000017D3">
        <w:trPr>
          <w:trHeight w:val="284"/>
        </w:trPr>
        <w:tc>
          <w:tcPr>
            <w:tcW w:w="2520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570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14,4</w:t>
            </w:r>
          </w:p>
        </w:tc>
        <w:tc>
          <w:tcPr>
            <w:tcW w:w="2351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2166" w:type="dxa"/>
            <w:vAlign w:val="bottom"/>
          </w:tcPr>
          <w:p w:rsidR="00986FA4" w:rsidRDefault="00986FA4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11,90</w:t>
            </w:r>
          </w:p>
        </w:tc>
      </w:tr>
    </w:tbl>
    <w:p w:rsidR="00986FA4" w:rsidRDefault="00F95C1C" w:rsidP="00986FA4">
      <w:r>
        <w:rPr>
          <w:noProof/>
          <w:lang w:eastAsia="fr-FR"/>
        </w:rPr>
        <w:drawing>
          <wp:inline distT="0" distB="0" distL="0" distR="0" wp14:anchorId="1E78EE81" wp14:editId="7E59187B">
            <wp:extent cx="4810125" cy="2886075"/>
            <wp:effectExtent l="0" t="0" r="9525" b="9525"/>
            <wp:docPr id="6" name="Graphique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86FA4" w:rsidRPr="008C0AA4" w:rsidRDefault="00986FA4" w:rsidP="00986FA4"/>
    <w:p w:rsidR="00986FA4" w:rsidRDefault="00986FA4" w:rsidP="005851D1"/>
    <w:p w:rsidR="00CA3E20" w:rsidRDefault="00CA3E20" w:rsidP="00CA3E20">
      <w:pPr>
        <w:pStyle w:val="Titre3"/>
      </w:pPr>
      <w:r>
        <w:lastRenderedPageBreak/>
        <w:t>Selon E&amp;M</w:t>
      </w:r>
    </w:p>
    <w:p w:rsidR="00D05238" w:rsidRPr="00D05238" w:rsidRDefault="00D05238" w:rsidP="00D05238">
      <w:r>
        <w:t xml:space="preserve">Il faut déjà noter que la consommation inclue ici les dépenses de logement, y compris les loyers imputés que les propriétaires se payent à </w:t>
      </w:r>
      <w:r w:rsidR="00986FA4">
        <w:t>eux-mêmes</w:t>
      </w:r>
      <w:r>
        <w:t>. Le taux de TVA va donc être plus faible que celui réellement payé sur la partie soumise à la TVA.</w:t>
      </w:r>
    </w:p>
    <w:p w:rsidR="00CA3E20" w:rsidRDefault="00CA3E20" w:rsidP="00CA3E20">
      <w:r>
        <w:t xml:space="preserve">Pour la France en 2005, </w:t>
      </w:r>
      <w:r w:rsidR="00D05238">
        <w:t>trois taux implicites sont possibles</w:t>
      </w:r>
      <w:r>
        <w:t> :</w:t>
      </w:r>
    </w:p>
    <w:p w:rsidR="007A295F" w:rsidRDefault="007A295F" w:rsidP="00CA3E20">
      <w:r>
        <w:t>Itrc_1 (</w:t>
      </w:r>
      <w:proofErr w:type="spellStart"/>
      <w:r>
        <w:t>cp+cg</w:t>
      </w:r>
      <w:proofErr w:type="spellEnd"/>
      <w:r>
        <w:t xml:space="preserve"> au dénominateur – </w:t>
      </w:r>
      <w:proofErr w:type="spellStart"/>
      <w:r>
        <w:t>mendoza</w:t>
      </w:r>
      <w:proofErr w:type="spellEnd"/>
      <w:r>
        <w:t>) : 14.30%</w:t>
      </w:r>
    </w:p>
    <w:p w:rsidR="007A295F" w:rsidRDefault="007A295F" w:rsidP="00CA3E20">
      <w:r>
        <w:t>Itrc_2 (</w:t>
      </w:r>
      <w:proofErr w:type="spellStart"/>
      <w:r>
        <w:t>cp+cg-cgw</w:t>
      </w:r>
      <w:proofErr w:type="spellEnd"/>
      <w:r>
        <w:t xml:space="preserve"> au dénominateur – Casey) : 17.18%</w:t>
      </w:r>
    </w:p>
    <w:p w:rsidR="007A295F" w:rsidRDefault="007A295F" w:rsidP="00CA3E20">
      <w:r>
        <w:t>Itrc_3 (</w:t>
      </w:r>
      <w:proofErr w:type="spellStart"/>
      <w:r>
        <w:t>cp</w:t>
      </w:r>
      <w:proofErr w:type="spellEnd"/>
      <w:r>
        <w:t xml:space="preserve"> au dénominateur – Eurostat) : 20.42%</w:t>
      </w:r>
    </w:p>
    <w:p w:rsidR="00D05238" w:rsidRDefault="00D05238" w:rsidP="00CA3E20"/>
    <w:p w:rsidR="00CA3E20" w:rsidRDefault="008C0AA4" w:rsidP="008C0AA4">
      <w:pPr>
        <w:pStyle w:val="Titre2"/>
      </w:pPr>
      <w:r>
        <w:t>Propension à consommer en fonction du revenu</w:t>
      </w:r>
    </w:p>
    <w:p w:rsidR="008C0AA4" w:rsidRDefault="008C0AA4" w:rsidP="008C0AA4">
      <w:pPr>
        <w:pStyle w:val="Titre3"/>
      </w:pPr>
      <w:r>
        <w:t>Selon Dauvergne</w:t>
      </w:r>
    </w:p>
    <w:p w:rsidR="00986FA4" w:rsidRDefault="00986FA4" w:rsidP="00986FA4">
      <w:r>
        <w:t>On récupère sur le même graphe les valeurs de :</w:t>
      </w:r>
    </w:p>
    <w:p w:rsidR="00986FA4" w:rsidRPr="00986FA4" w:rsidRDefault="00986FA4" w:rsidP="00986F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tax</m:t>
              </m:r>
            </m:num>
            <m:den>
              <m:r>
                <w:rPr>
                  <w:rFonts w:ascii="Cambria Math" w:hAnsi="Cambria Math"/>
                </w:rPr>
                <m:t>revenu</m:t>
              </m:r>
            </m:den>
          </m:f>
        </m:oMath>
      </m:oMathPara>
    </w:p>
    <w:p w:rsidR="00986FA4" w:rsidRDefault="00986FA4" w:rsidP="00986FA4">
      <w:pPr>
        <w:rPr>
          <w:rFonts w:eastAsiaTheme="minorEastAsia"/>
        </w:rPr>
      </w:pPr>
      <w:r>
        <w:rPr>
          <w:rFonts w:eastAsiaTheme="minorEastAsia"/>
        </w:rPr>
        <w:t>On calcule la propension à consommer</w:t>
      </w:r>
      <w:r w:rsidR="00FF645B">
        <w:rPr>
          <w:rFonts w:eastAsiaTheme="minorEastAsia"/>
        </w:rPr>
        <w:t xml:space="preserve"> (loyer compris)</w:t>
      </w:r>
      <w:r>
        <w:rPr>
          <w:rFonts w:eastAsiaTheme="minorEastAsia"/>
        </w:rPr>
        <w:t> :</w:t>
      </w:r>
    </w:p>
    <w:p w:rsidR="00986FA4" w:rsidRPr="00FF645B" w:rsidRDefault="00986FA4" w:rsidP="00986F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conso+loyer</m:t>
              </m:r>
            </m:num>
            <m:den>
              <m:r>
                <w:rPr>
                  <w:rFonts w:ascii="Cambria Math" w:eastAsiaTheme="minorEastAsia" w:hAnsi="Cambria Math"/>
                </w:rPr>
                <m:t>revenu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:rsidR="00FF645B" w:rsidRDefault="00FF645B" w:rsidP="00986FA4">
      <w:pPr>
        <w:rPr>
          <w:rFonts w:eastAsiaTheme="minorEastAsia"/>
        </w:rPr>
      </w:pPr>
      <w:r>
        <w:rPr>
          <w:rFonts w:eastAsiaTheme="minorEastAsia"/>
        </w:rPr>
        <w:t>Et la propension à  consommer (hors loyer) :</w:t>
      </w:r>
    </w:p>
    <w:p w:rsidR="00FF645B" w:rsidRPr="00FF645B" w:rsidRDefault="00FF645B" w:rsidP="00986F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conso</m:t>
              </m:r>
            </m:num>
            <m:den>
              <m:r>
                <w:rPr>
                  <w:rFonts w:ascii="Cambria Math" w:eastAsiaTheme="minorEastAsia" w:hAnsi="Cambria Math"/>
                </w:rPr>
                <m:t>revenu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tbl>
      <w:tblPr>
        <w:tblStyle w:val="Grilledutableau"/>
        <w:tblW w:w="10386" w:type="dxa"/>
        <w:tblInd w:w="-647" w:type="dxa"/>
        <w:tblLook w:val="04A0" w:firstRow="1" w:lastRow="0" w:firstColumn="1" w:lastColumn="0" w:noHBand="0" w:noVBand="1"/>
      </w:tblPr>
      <w:tblGrid>
        <w:gridCol w:w="959"/>
        <w:gridCol w:w="3118"/>
        <w:gridCol w:w="1985"/>
        <w:gridCol w:w="2410"/>
        <w:gridCol w:w="1914"/>
      </w:tblGrid>
      <w:tr w:rsidR="00FF645B" w:rsidTr="00FF645B">
        <w:trPr>
          <w:trHeight w:val="953"/>
        </w:trPr>
        <w:tc>
          <w:tcPr>
            <w:tcW w:w="959" w:type="dxa"/>
          </w:tcPr>
          <w:p w:rsidR="00FF645B" w:rsidRDefault="00FF645B" w:rsidP="000017D3">
            <w:r>
              <w:t>Décile</w:t>
            </w:r>
          </w:p>
        </w:tc>
        <w:tc>
          <w:tcPr>
            <w:tcW w:w="3118" w:type="dxa"/>
          </w:tcPr>
          <w:p w:rsidR="00FF645B" w:rsidRDefault="00FF645B" w:rsidP="001B5343">
            <w:r>
              <w:t>Taux de taxes payées dans la conso (loyer</w:t>
            </w:r>
            <w:r>
              <w:t xml:space="preserve"> compris</w:t>
            </w:r>
            <w:r>
              <w:t>) en %</w:t>
            </w:r>
          </w:p>
        </w:tc>
        <w:tc>
          <w:tcPr>
            <w:tcW w:w="1985" w:type="dxa"/>
          </w:tcPr>
          <w:p w:rsidR="00FF645B" w:rsidRDefault="00FF645B" w:rsidP="001B5343">
            <w:r>
              <w:t xml:space="preserve">Taux de taxes payées dans </w:t>
            </w:r>
            <w:r>
              <w:t>le revenu</w:t>
            </w:r>
            <w:r>
              <w:t xml:space="preserve"> en %</w:t>
            </w:r>
          </w:p>
        </w:tc>
        <w:tc>
          <w:tcPr>
            <w:tcW w:w="2410" w:type="dxa"/>
          </w:tcPr>
          <w:p w:rsidR="00FF645B" w:rsidRDefault="00FF645B" w:rsidP="000017D3">
            <w:r>
              <w:t>Propension à consommer (loyer compris) en %</w:t>
            </w:r>
          </w:p>
        </w:tc>
        <w:tc>
          <w:tcPr>
            <w:tcW w:w="1914" w:type="dxa"/>
            <w:vAlign w:val="center"/>
          </w:tcPr>
          <w:p w:rsidR="00FF645B" w:rsidRDefault="00FF645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Propension à consommer (hors loyer)</w:t>
            </w:r>
          </w:p>
        </w:tc>
      </w:tr>
      <w:tr w:rsidR="00FF645B" w:rsidTr="00FF645B">
        <w:trPr>
          <w:trHeight w:val="284"/>
        </w:trPr>
        <w:tc>
          <w:tcPr>
            <w:tcW w:w="959" w:type="dxa"/>
            <w:vAlign w:val="bottom"/>
          </w:tcPr>
          <w:p w:rsidR="00FF645B" w:rsidRDefault="00FF645B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118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11,76</w:t>
            </w:r>
          </w:p>
        </w:tc>
        <w:tc>
          <w:tcPr>
            <w:tcW w:w="1985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2410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170,13</w:t>
            </w:r>
          </w:p>
        </w:tc>
        <w:tc>
          <w:tcPr>
            <w:tcW w:w="1914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129,87</w:t>
            </w:r>
          </w:p>
        </w:tc>
      </w:tr>
      <w:tr w:rsidR="00FF645B" w:rsidTr="00FF645B">
        <w:trPr>
          <w:trHeight w:val="272"/>
        </w:trPr>
        <w:tc>
          <w:tcPr>
            <w:tcW w:w="959" w:type="dxa"/>
            <w:vAlign w:val="bottom"/>
          </w:tcPr>
          <w:p w:rsidR="00FF645B" w:rsidRDefault="00FF645B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118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12,15</w:t>
            </w:r>
          </w:p>
        </w:tc>
        <w:tc>
          <w:tcPr>
            <w:tcW w:w="1985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2410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123,42</w:t>
            </w:r>
          </w:p>
        </w:tc>
        <w:tc>
          <w:tcPr>
            <w:tcW w:w="1914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94,94</w:t>
            </w:r>
          </w:p>
        </w:tc>
      </w:tr>
      <w:tr w:rsidR="00FF645B" w:rsidTr="00FF645B">
        <w:trPr>
          <w:trHeight w:val="272"/>
        </w:trPr>
        <w:tc>
          <w:tcPr>
            <w:tcW w:w="959" w:type="dxa"/>
            <w:vAlign w:val="bottom"/>
          </w:tcPr>
          <w:p w:rsidR="00FF645B" w:rsidRDefault="00FF645B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118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11,92</w:t>
            </w:r>
          </w:p>
        </w:tc>
        <w:tc>
          <w:tcPr>
            <w:tcW w:w="1985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2410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117,43</w:t>
            </w:r>
          </w:p>
        </w:tc>
        <w:tc>
          <w:tcPr>
            <w:tcW w:w="1914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92,11</w:t>
            </w:r>
          </w:p>
        </w:tc>
      </w:tr>
      <w:tr w:rsidR="00FF645B" w:rsidTr="00FF645B">
        <w:trPr>
          <w:trHeight w:val="272"/>
        </w:trPr>
        <w:tc>
          <w:tcPr>
            <w:tcW w:w="959" w:type="dxa"/>
            <w:vAlign w:val="bottom"/>
          </w:tcPr>
          <w:p w:rsidR="00FF645B" w:rsidRDefault="00FF645B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118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12,17</w:t>
            </w:r>
          </w:p>
        </w:tc>
        <w:tc>
          <w:tcPr>
            <w:tcW w:w="1985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13,5</w:t>
            </w:r>
          </w:p>
        </w:tc>
        <w:tc>
          <w:tcPr>
            <w:tcW w:w="2410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110,89</w:t>
            </w:r>
          </w:p>
        </w:tc>
        <w:tc>
          <w:tcPr>
            <w:tcW w:w="1914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87,66</w:t>
            </w:r>
          </w:p>
        </w:tc>
      </w:tr>
      <w:tr w:rsidR="00FF645B" w:rsidTr="00FF645B">
        <w:trPr>
          <w:trHeight w:val="284"/>
        </w:trPr>
        <w:tc>
          <w:tcPr>
            <w:tcW w:w="959" w:type="dxa"/>
            <w:vAlign w:val="bottom"/>
          </w:tcPr>
          <w:p w:rsidR="00FF645B" w:rsidRDefault="00FF645B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3118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12,30</w:t>
            </w:r>
          </w:p>
        </w:tc>
        <w:tc>
          <w:tcPr>
            <w:tcW w:w="1985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2410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105,68</w:t>
            </w:r>
          </w:p>
        </w:tc>
        <w:tc>
          <w:tcPr>
            <w:tcW w:w="1914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83,87</w:t>
            </w:r>
          </w:p>
        </w:tc>
      </w:tr>
      <w:tr w:rsidR="00FF645B" w:rsidTr="00FF645B">
        <w:trPr>
          <w:trHeight w:val="272"/>
        </w:trPr>
        <w:tc>
          <w:tcPr>
            <w:tcW w:w="959" w:type="dxa"/>
            <w:vAlign w:val="bottom"/>
          </w:tcPr>
          <w:p w:rsidR="00FF645B" w:rsidRDefault="00FF645B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3118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12,45</w:t>
            </w:r>
          </w:p>
        </w:tc>
        <w:tc>
          <w:tcPr>
            <w:tcW w:w="1985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12,5</w:t>
            </w:r>
          </w:p>
        </w:tc>
        <w:tc>
          <w:tcPr>
            <w:tcW w:w="2410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100,40</w:t>
            </w:r>
          </w:p>
        </w:tc>
        <w:tc>
          <w:tcPr>
            <w:tcW w:w="1914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80,65</w:t>
            </w:r>
          </w:p>
        </w:tc>
      </w:tr>
      <w:tr w:rsidR="00FF645B" w:rsidTr="00FF645B">
        <w:trPr>
          <w:trHeight w:val="272"/>
        </w:trPr>
        <w:tc>
          <w:tcPr>
            <w:tcW w:w="959" w:type="dxa"/>
            <w:vAlign w:val="bottom"/>
          </w:tcPr>
          <w:p w:rsidR="00FF645B" w:rsidRDefault="00FF645B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3118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12,15</w:t>
            </w:r>
          </w:p>
        </w:tc>
        <w:tc>
          <w:tcPr>
            <w:tcW w:w="1985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2410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98,80</w:t>
            </w:r>
          </w:p>
        </w:tc>
        <w:tc>
          <w:tcPr>
            <w:tcW w:w="1914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80,00</w:t>
            </w:r>
          </w:p>
        </w:tc>
      </w:tr>
      <w:tr w:rsidR="00FF645B" w:rsidTr="00FF645B">
        <w:trPr>
          <w:trHeight w:val="272"/>
        </w:trPr>
        <w:tc>
          <w:tcPr>
            <w:tcW w:w="959" w:type="dxa"/>
            <w:vAlign w:val="bottom"/>
          </w:tcPr>
          <w:p w:rsidR="00FF645B" w:rsidRDefault="00FF645B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3118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12,41</w:t>
            </w:r>
          </w:p>
        </w:tc>
        <w:tc>
          <w:tcPr>
            <w:tcW w:w="1985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2410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96,71</w:t>
            </w:r>
          </w:p>
        </w:tc>
        <w:tc>
          <w:tcPr>
            <w:tcW w:w="1914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78,95</w:t>
            </w:r>
          </w:p>
        </w:tc>
      </w:tr>
      <w:tr w:rsidR="00FF645B" w:rsidTr="00FF645B">
        <w:trPr>
          <w:trHeight w:val="284"/>
        </w:trPr>
        <w:tc>
          <w:tcPr>
            <w:tcW w:w="959" w:type="dxa"/>
            <w:vAlign w:val="bottom"/>
          </w:tcPr>
          <w:p w:rsidR="00FF645B" w:rsidRDefault="00FF645B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3118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12,08</w:t>
            </w:r>
          </w:p>
        </w:tc>
        <w:tc>
          <w:tcPr>
            <w:tcW w:w="1985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2410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91,05</w:t>
            </w:r>
          </w:p>
        </w:tc>
        <w:tc>
          <w:tcPr>
            <w:tcW w:w="1914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74,32</w:t>
            </w:r>
          </w:p>
        </w:tc>
      </w:tr>
      <w:tr w:rsidR="00FF645B" w:rsidTr="00FF645B">
        <w:trPr>
          <w:trHeight w:val="284"/>
        </w:trPr>
        <w:tc>
          <w:tcPr>
            <w:tcW w:w="959" w:type="dxa"/>
            <w:vAlign w:val="bottom"/>
          </w:tcPr>
          <w:p w:rsidR="00FF645B" w:rsidRDefault="00FF645B" w:rsidP="000017D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3118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11,90</w:t>
            </w:r>
          </w:p>
        </w:tc>
        <w:tc>
          <w:tcPr>
            <w:tcW w:w="1985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2410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75,63</w:t>
            </w:r>
          </w:p>
        </w:tc>
        <w:tc>
          <w:tcPr>
            <w:tcW w:w="1914" w:type="dxa"/>
            <w:vAlign w:val="bottom"/>
          </w:tcPr>
          <w:p w:rsidR="00FF645B" w:rsidRDefault="00FF645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62,50</w:t>
            </w:r>
          </w:p>
        </w:tc>
      </w:tr>
    </w:tbl>
    <w:p w:rsidR="00986FA4" w:rsidRDefault="001B5343" w:rsidP="00986FA4">
      <w:pPr>
        <w:rPr>
          <w:rFonts w:eastAsiaTheme="minorEastAsia"/>
        </w:rPr>
      </w:pPr>
      <w:r>
        <w:rPr>
          <w:noProof/>
          <w:lang w:eastAsia="fr-FR"/>
        </w:rPr>
        <w:lastRenderedPageBreak/>
        <w:drawing>
          <wp:inline distT="0" distB="0" distL="0" distR="0" wp14:anchorId="48BF59F9" wp14:editId="3B1A3A47">
            <wp:extent cx="5141843" cy="3085106"/>
            <wp:effectExtent l="0" t="0" r="20955" b="20320"/>
            <wp:docPr id="4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A295F" w:rsidRDefault="007A295F" w:rsidP="007A295F">
      <w:pPr>
        <w:pStyle w:val="Titre3"/>
        <w:rPr>
          <w:rFonts w:eastAsiaTheme="minorEastAsia"/>
        </w:rPr>
      </w:pPr>
      <w:r>
        <w:rPr>
          <w:rFonts w:eastAsiaTheme="minorEastAsia"/>
        </w:rPr>
        <w:t>Selon E&amp;M</w:t>
      </w:r>
    </w:p>
    <w:p w:rsidR="007A295F" w:rsidRPr="007A295F" w:rsidRDefault="00A77933" w:rsidP="007A295F">
      <w:r>
        <w:rPr>
          <w:noProof/>
          <w:lang w:eastAsia="fr-FR"/>
        </w:rPr>
        <w:drawing>
          <wp:inline distT="0" distB="0" distL="0" distR="0">
            <wp:extent cx="5112385" cy="3745230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295F" w:rsidRPr="007A29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359F1"/>
    <w:multiLevelType w:val="hybridMultilevel"/>
    <w:tmpl w:val="91AE4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A4BA8"/>
    <w:multiLevelType w:val="hybridMultilevel"/>
    <w:tmpl w:val="6ABAE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FBF"/>
    <w:rsid w:val="000538C7"/>
    <w:rsid w:val="001B5343"/>
    <w:rsid w:val="004E6604"/>
    <w:rsid w:val="005851D1"/>
    <w:rsid w:val="005F6191"/>
    <w:rsid w:val="007A295F"/>
    <w:rsid w:val="00805F03"/>
    <w:rsid w:val="008C0AA4"/>
    <w:rsid w:val="00986FA4"/>
    <w:rsid w:val="00A77933"/>
    <w:rsid w:val="00BD3FBF"/>
    <w:rsid w:val="00CA3E20"/>
    <w:rsid w:val="00D05238"/>
    <w:rsid w:val="00D77FBD"/>
    <w:rsid w:val="00F95C1C"/>
    <w:rsid w:val="00FF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51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51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51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51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5851D1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851D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851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851D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5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51D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53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86FA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51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51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51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51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5851D1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851D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851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851D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5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51D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53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86F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Biblio/Dauvergne2012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ulien.blasco\Documents\pfe-liepp\Notes\analyse%20chiffres%20Roy%20Dauvergn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Taux de taxes payées dans la conso (hors loyer)</c:v>
                </c:pt>
              </c:strCache>
            </c:strRef>
          </c:tx>
          <c:spPr>
            <a:ln>
              <a:solidFill>
                <a:schemeClr val="accent2"/>
              </a:solidFill>
            </a:ln>
          </c:spPr>
          <c:marker>
            <c:spPr>
              <a:solidFill>
                <a:schemeClr val="accent2"/>
              </a:solidFill>
              <a:ln>
                <a:solidFill>
                  <a:schemeClr val="accent2"/>
                </a:solidFill>
              </a:ln>
            </c:spPr>
          </c:marker>
          <c:val>
            <c:numRef>
              <c:f>Feuil1!$B$2:$B$11</c:f>
              <c:numCache>
                <c:formatCode>General</c:formatCode>
                <c:ptCount val="10"/>
                <c:pt idx="0">
                  <c:v>15.4</c:v>
                </c:pt>
                <c:pt idx="1">
                  <c:v>15.8</c:v>
                </c:pt>
                <c:pt idx="2">
                  <c:v>15.2</c:v>
                </c:pt>
                <c:pt idx="3">
                  <c:v>15.4</c:v>
                </c:pt>
                <c:pt idx="4">
                  <c:v>15.5</c:v>
                </c:pt>
                <c:pt idx="5">
                  <c:v>15.5</c:v>
                </c:pt>
                <c:pt idx="6">
                  <c:v>15</c:v>
                </c:pt>
                <c:pt idx="7">
                  <c:v>15.2</c:v>
                </c:pt>
                <c:pt idx="8">
                  <c:v>14.8</c:v>
                </c:pt>
                <c:pt idx="9">
                  <c:v>14.4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Feuil1!$D$1</c:f>
              <c:strCache>
                <c:ptCount val="1"/>
                <c:pt idx="0">
                  <c:v>Taux de taxes payées dans la conso (loyer compris)</c:v>
                </c:pt>
              </c:strCache>
            </c:strRef>
          </c:tx>
          <c:spPr>
            <a:ln>
              <a:solidFill>
                <a:schemeClr val="accent1"/>
              </a:solidFill>
            </a:ln>
          </c:spPr>
          <c:marker>
            <c:spPr>
              <a:solidFill>
                <a:schemeClr val="accent1"/>
              </a:solidFill>
              <a:ln>
                <a:solidFill>
                  <a:schemeClr val="accent1"/>
                </a:solidFill>
              </a:ln>
            </c:spPr>
          </c:marker>
          <c:val>
            <c:numRef>
              <c:f>Feuil1!$D$2:$D$11</c:f>
              <c:numCache>
                <c:formatCode>0.00</c:formatCode>
                <c:ptCount val="10"/>
                <c:pt idx="0">
                  <c:v>11.755725190839694</c:v>
                </c:pt>
                <c:pt idx="1">
                  <c:v>12.153846153846153</c:v>
                </c:pt>
                <c:pt idx="2">
                  <c:v>11.921568627450981</c:v>
                </c:pt>
                <c:pt idx="3">
                  <c:v>12.17391304347826</c:v>
                </c:pt>
                <c:pt idx="4">
                  <c:v>12.301587301587302</c:v>
                </c:pt>
                <c:pt idx="5">
                  <c:v>12.449799196787147</c:v>
                </c:pt>
                <c:pt idx="6">
                  <c:v>12.145748987854253</c:v>
                </c:pt>
                <c:pt idx="7">
                  <c:v>12.40816326530612</c:v>
                </c:pt>
                <c:pt idx="8">
                  <c:v>12.081632653061225</c:v>
                </c:pt>
                <c:pt idx="9">
                  <c:v>11.900826446280995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404800"/>
        <c:axId val="220396928"/>
      </c:lineChart>
      <c:catAx>
        <c:axId val="161404800"/>
        <c:scaling>
          <c:orientation val="minMax"/>
        </c:scaling>
        <c:delete val="0"/>
        <c:axPos val="b"/>
        <c:majorTickMark val="out"/>
        <c:minorTickMark val="none"/>
        <c:tickLblPos val="nextTo"/>
        <c:crossAx val="220396928"/>
        <c:crosses val="autoZero"/>
        <c:auto val="1"/>
        <c:lblAlgn val="ctr"/>
        <c:lblOffset val="100"/>
        <c:noMultiLvlLbl val="0"/>
      </c:catAx>
      <c:valAx>
        <c:axId val="220396928"/>
        <c:scaling>
          <c:orientation val="minMax"/>
          <c:min val="8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14048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Feuil1!$F$1</c:f>
              <c:strCache>
                <c:ptCount val="1"/>
                <c:pt idx="0">
                  <c:v>Propension à consommer (loyer compris)</c:v>
                </c:pt>
              </c:strCache>
            </c:strRef>
          </c:tx>
          <c:val>
            <c:numRef>
              <c:f>Feuil1!$F$2:$F$11</c:f>
              <c:numCache>
                <c:formatCode>0.00</c:formatCode>
                <c:ptCount val="10"/>
                <c:pt idx="0">
                  <c:v>170.12987012987014</c:v>
                </c:pt>
                <c:pt idx="1">
                  <c:v>123.41772151898735</c:v>
                </c:pt>
                <c:pt idx="2">
                  <c:v>117.43421052631578</c:v>
                </c:pt>
                <c:pt idx="3">
                  <c:v>110.89285714285715</c:v>
                </c:pt>
                <c:pt idx="4">
                  <c:v>105.6774193548387</c:v>
                </c:pt>
                <c:pt idx="5">
                  <c:v>100.40322580645163</c:v>
                </c:pt>
                <c:pt idx="6">
                  <c:v>98.799999999999983</c:v>
                </c:pt>
                <c:pt idx="7">
                  <c:v>96.710526315789494</c:v>
                </c:pt>
                <c:pt idx="8">
                  <c:v>91.047297297297291</c:v>
                </c:pt>
                <c:pt idx="9">
                  <c:v>75.624999999999986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Feuil1!$G$1</c:f>
              <c:strCache>
                <c:ptCount val="1"/>
                <c:pt idx="0">
                  <c:v>Propension à consommer (hors loyer)</c:v>
                </c:pt>
              </c:strCache>
            </c:strRef>
          </c:tx>
          <c:val>
            <c:numRef>
              <c:f>Feuil1!$G$2:$G$11</c:f>
              <c:numCache>
                <c:formatCode>0.00</c:formatCode>
                <c:ptCount val="10"/>
                <c:pt idx="0">
                  <c:v>129.87012987012986</c:v>
                </c:pt>
                <c:pt idx="1">
                  <c:v>94.936708860759495</c:v>
                </c:pt>
                <c:pt idx="2">
                  <c:v>92.10526315789474</c:v>
                </c:pt>
                <c:pt idx="3">
                  <c:v>87.662337662337663</c:v>
                </c:pt>
                <c:pt idx="4">
                  <c:v>83.870967741935488</c:v>
                </c:pt>
                <c:pt idx="5">
                  <c:v>80.645161290322577</c:v>
                </c:pt>
                <c:pt idx="6">
                  <c:v>80</c:v>
                </c:pt>
                <c:pt idx="7">
                  <c:v>78.94736842105263</c:v>
                </c:pt>
                <c:pt idx="8">
                  <c:v>74.324324324324323</c:v>
                </c:pt>
                <c:pt idx="9">
                  <c:v>62.5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302016"/>
        <c:axId val="161303552"/>
      </c:lineChart>
      <c:catAx>
        <c:axId val="161302016"/>
        <c:scaling>
          <c:orientation val="minMax"/>
        </c:scaling>
        <c:delete val="0"/>
        <c:axPos val="b"/>
        <c:majorTickMark val="out"/>
        <c:minorTickMark val="none"/>
        <c:tickLblPos val="nextTo"/>
        <c:crossAx val="161303552"/>
        <c:crosses val="autoZero"/>
        <c:auto val="1"/>
        <c:lblAlgn val="ctr"/>
        <c:lblOffset val="100"/>
        <c:noMultiLvlLbl val="0"/>
      </c:catAx>
      <c:valAx>
        <c:axId val="161303552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1613020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Sciences PO</Company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SciencesPo</dc:creator>
  <cp:keywords/>
  <dc:description/>
  <cp:lastModifiedBy>SciencesPo</cp:lastModifiedBy>
  <cp:revision>3</cp:revision>
  <dcterms:created xsi:type="dcterms:W3CDTF">2017-05-17T08:07:00Z</dcterms:created>
  <dcterms:modified xsi:type="dcterms:W3CDTF">2017-05-17T16:05:00Z</dcterms:modified>
</cp:coreProperties>
</file>