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DF883E" w14:textId="0D9317F5" w:rsidR="00260CD7" w:rsidRDefault="00260CD7" w:rsidP="0013378B">
      <w:pPr>
        <w:pStyle w:val="Titre2"/>
      </w:pPr>
      <w:proofErr w:type="spellStart"/>
      <w:r w:rsidRPr="00260CD7">
        <w:t>Measuring</w:t>
      </w:r>
      <w:proofErr w:type="spellEnd"/>
      <w:r w:rsidRPr="00260CD7">
        <w:t xml:space="preserve"> the </w:t>
      </w:r>
      <w:proofErr w:type="spellStart"/>
      <w:r w:rsidRPr="00260CD7">
        <w:t>Effect</w:t>
      </w:r>
      <w:proofErr w:type="spellEnd"/>
      <w:r w:rsidRPr="00260CD7">
        <w:t xml:space="preserve"> of </w:t>
      </w:r>
      <w:proofErr w:type="spellStart"/>
      <w:r w:rsidRPr="00260CD7">
        <w:t>Consumption</w:t>
      </w:r>
      <w:proofErr w:type="spellEnd"/>
      <w:r w:rsidRPr="00260CD7">
        <w:t xml:space="preserve"> </w:t>
      </w:r>
      <w:proofErr w:type="spellStart"/>
      <w:r w:rsidRPr="00260CD7">
        <w:t>Tax</w:t>
      </w:r>
      <w:proofErr w:type="spellEnd"/>
      <w:r w:rsidRPr="00260CD7">
        <w:t xml:space="preserve"> on </w:t>
      </w:r>
      <w:proofErr w:type="spellStart"/>
      <w:r w:rsidRPr="00260CD7">
        <w:t>Inequality</w:t>
      </w:r>
      <w:proofErr w:type="spellEnd"/>
    </w:p>
    <w:p w14:paraId="5F0AD357" w14:textId="4CAFA861" w:rsidR="00260CD7" w:rsidRDefault="00260CD7" w:rsidP="00260CD7">
      <w:r>
        <w:t xml:space="preserve">Alessandro </w:t>
      </w:r>
      <w:proofErr w:type="spellStart"/>
      <w:r>
        <w:t>Bordoli</w:t>
      </w:r>
      <w:proofErr w:type="spellEnd"/>
      <w:r>
        <w:t xml:space="preserve"> (2016)</w:t>
      </w:r>
    </w:p>
    <w:p w14:paraId="186A50C2" w14:textId="77777777" w:rsidR="00260CD7" w:rsidRDefault="00260CD7" w:rsidP="00260CD7">
      <w:pPr>
        <w:rPr>
          <w:lang w:val="en-US"/>
        </w:rPr>
      </w:pPr>
      <w:r>
        <w:rPr>
          <w:lang w:val="en-US"/>
        </w:rPr>
        <w:t>LIS acquires datasets with income, wealth, employment, and demographic data from many high- and middle-income countries.</w:t>
      </w:r>
    </w:p>
    <w:p w14:paraId="41A8D19B" w14:textId="77777777" w:rsidR="00260CD7" w:rsidRDefault="00260CD7" w:rsidP="00260CD7">
      <w:pPr>
        <w:rPr>
          <w:lang w:val="en-US"/>
        </w:rPr>
      </w:pPr>
      <w:proofErr w:type="gramStart"/>
      <w:r>
        <w:rPr>
          <w:lang w:val="en-US"/>
        </w:rPr>
        <w:t>Two databases, the Luxembourg Income Study Database (LIS) and the Luxembourg Wealth Study Database (LWS).</w:t>
      </w:r>
      <w:proofErr w:type="gramEnd"/>
    </w:p>
    <w:p w14:paraId="047E0AD1" w14:textId="77777777" w:rsidR="00260CD7" w:rsidRDefault="00260CD7" w:rsidP="00260CD7">
      <w:pPr>
        <w:pStyle w:val="Paragraphedeliste"/>
        <w:numPr>
          <w:ilvl w:val="0"/>
          <w:numId w:val="2"/>
        </w:numPr>
        <w:spacing w:line="256" w:lineRule="auto"/>
        <w:jc w:val="both"/>
        <w:rPr>
          <w:lang w:val="en-US"/>
        </w:rPr>
      </w:pPr>
      <w:r>
        <w:rPr>
          <w:lang w:val="en-US"/>
        </w:rPr>
        <w:t>File identifiers and data information (including weights)</w:t>
      </w:r>
    </w:p>
    <w:p w14:paraId="7271AFCA" w14:textId="77777777" w:rsidR="00260CD7" w:rsidRDefault="00260CD7" w:rsidP="00260CD7">
      <w:pPr>
        <w:pStyle w:val="Paragraphedeliste"/>
        <w:numPr>
          <w:ilvl w:val="0"/>
          <w:numId w:val="2"/>
        </w:numPr>
        <w:spacing w:line="256" w:lineRule="auto"/>
        <w:jc w:val="both"/>
        <w:rPr>
          <w:lang w:val="en-US"/>
        </w:rPr>
      </w:pPr>
      <w:r>
        <w:rPr>
          <w:lang w:val="en-US"/>
        </w:rPr>
        <w:t>Household characteristics variables</w:t>
      </w:r>
    </w:p>
    <w:p w14:paraId="0E71DD9C" w14:textId="77777777" w:rsidR="00260CD7" w:rsidRDefault="00260CD7" w:rsidP="00260CD7">
      <w:pPr>
        <w:pStyle w:val="Paragraphedeliste"/>
        <w:numPr>
          <w:ilvl w:val="0"/>
          <w:numId w:val="2"/>
        </w:numPr>
        <w:spacing w:line="256" w:lineRule="auto"/>
        <w:jc w:val="both"/>
        <w:rPr>
          <w:lang w:val="en-US"/>
        </w:rPr>
      </w:pPr>
      <w:r>
        <w:rPr>
          <w:lang w:val="en-US"/>
        </w:rPr>
        <w:t>Socio-demographic variables</w:t>
      </w:r>
    </w:p>
    <w:p w14:paraId="414F5BA6" w14:textId="77777777" w:rsidR="00260CD7" w:rsidRDefault="00260CD7" w:rsidP="00260CD7">
      <w:pPr>
        <w:pStyle w:val="Paragraphedeliste"/>
        <w:numPr>
          <w:ilvl w:val="0"/>
          <w:numId w:val="2"/>
        </w:numPr>
        <w:spacing w:line="256" w:lineRule="auto"/>
        <w:jc w:val="both"/>
        <w:rPr>
          <w:lang w:val="en-US"/>
        </w:rPr>
      </w:pPr>
      <w:proofErr w:type="spellStart"/>
      <w:r>
        <w:rPr>
          <w:lang w:val="en-US"/>
        </w:rPr>
        <w:t>Labour</w:t>
      </w:r>
      <w:proofErr w:type="spellEnd"/>
      <w:r>
        <w:rPr>
          <w:lang w:val="en-US"/>
        </w:rPr>
        <w:t xml:space="preserve"> market variables</w:t>
      </w:r>
    </w:p>
    <w:p w14:paraId="1C7BCF11" w14:textId="77777777" w:rsidR="00260CD7" w:rsidRDefault="00260CD7" w:rsidP="00260CD7">
      <w:pPr>
        <w:pStyle w:val="Paragraphedeliste"/>
        <w:numPr>
          <w:ilvl w:val="0"/>
          <w:numId w:val="2"/>
        </w:numPr>
        <w:spacing w:line="256" w:lineRule="auto"/>
        <w:jc w:val="both"/>
        <w:rPr>
          <w:lang w:val="en-US"/>
        </w:rPr>
      </w:pPr>
      <w:r>
        <w:rPr>
          <w:lang w:val="en-US"/>
        </w:rPr>
        <w:t>Flow variables (incomes, consumption and other flows)</w:t>
      </w:r>
    </w:p>
    <w:p w14:paraId="54C377E5" w14:textId="77777777" w:rsidR="00260CD7" w:rsidRDefault="00260CD7" w:rsidP="00260CD7">
      <w:pPr>
        <w:rPr>
          <w:lang w:val="en-US"/>
        </w:rPr>
      </w:pPr>
      <w:r>
        <w:rPr>
          <w:lang w:val="en-US"/>
        </w:rPr>
        <w:t xml:space="preserve">Each LIS dataset is composed of two </w:t>
      </w:r>
      <w:proofErr w:type="gramStart"/>
      <w:r>
        <w:rPr>
          <w:lang w:val="en-US"/>
        </w:rPr>
        <w:t>files,</w:t>
      </w:r>
      <w:proofErr w:type="gramEnd"/>
      <w:r>
        <w:rPr>
          <w:lang w:val="en-US"/>
        </w:rPr>
        <w:t xml:space="preserve"> a </w:t>
      </w:r>
      <w:r>
        <w:rPr>
          <w:b/>
          <w:lang w:val="en-US"/>
        </w:rPr>
        <w:t>household level file (LIS H-file)</w:t>
      </w:r>
      <w:r>
        <w:rPr>
          <w:lang w:val="en-US"/>
        </w:rPr>
        <w:t xml:space="preserve"> and an </w:t>
      </w:r>
      <w:r>
        <w:rPr>
          <w:b/>
          <w:lang w:val="en-US"/>
        </w:rPr>
        <w:t>individual level file (LIS P-file)</w:t>
      </w:r>
      <w:r>
        <w:rPr>
          <w:lang w:val="en-US"/>
        </w:rPr>
        <w:t>.</w:t>
      </w:r>
    </w:p>
    <w:p w14:paraId="23C8D158" w14:textId="3B35CDAC" w:rsidR="00260CD7" w:rsidRDefault="00260CD7" w:rsidP="00260CD7">
      <w:pPr>
        <w:rPr>
          <w:lang w:val="en-US"/>
        </w:rPr>
      </w:pPr>
      <w:r>
        <w:rPr>
          <w:lang w:val="en-US"/>
        </w:rPr>
        <w:t>Three types of handling consumption taxes: implicit rates, statutory (estimated), statutory (imputed).</w:t>
      </w:r>
    </w:p>
    <w:p w14:paraId="6A13DF0E" w14:textId="77777777" w:rsidR="00260CD7" w:rsidRDefault="00260CD7" w:rsidP="00260CD7">
      <w:pPr>
        <w:rPr>
          <w:lang w:val="en-US"/>
        </w:rPr>
      </w:pPr>
      <w:r>
        <w:rPr>
          <w:lang w:val="en-US"/>
        </w:rPr>
        <w:t>Data:</w:t>
      </w:r>
    </w:p>
    <w:p w14:paraId="1760FDDF" w14:textId="77777777" w:rsidR="00260CD7" w:rsidRDefault="00260CD7" w:rsidP="00260CD7">
      <w:pPr>
        <w:pStyle w:val="Paragraphedeliste"/>
        <w:numPr>
          <w:ilvl w:val="0"/>
          <w:numId w:val="3"/>
        </w:numPr>
        <w:spacing w:line="256" w:lineRule="auto"/>
        <w:jc w:val="both"/>
        <w:rPr>
          <w:szCs w:val="24"/>
          <w:lang w:val="en-US"/>
        </w:rPr>
      </w:pPr>
      <w:r>
        <w:rPr>
          <w:lang w:val="en-US"/>
        </w:rPr>
        <w:t>OECD</w:t>
      </w:r>
    </w:p>
    <w:p w14:paraId="7EF8090F" w14:textId="77777777" w:rsidR="00260CD7" w:rsidRDefault="00260CD7" w:rsidP="00260CD7">
      <w:pPr>
        <w:pStyle w:val="Paragraphedeliste"/>
        <w:numPr>
          <w:ilvl w:val="1"/>
          <w:numId w:val="3"/>
        </w:numPr>
        <w:spacing w:line="256" w:lineRule="auto"/>
        <w:jc w:val="both"/>
        <w:rPr>
          <w:szCs w:val="24"/>
          <w:lang w:val="en-US"/>
        </w:rPr>
      </w:pPr>
      <w:r>
        <w:rPr>
          <w:lang w:val="en-US"/>
        </w:rPr>
        <w:t>Implicit Tax Rate --</w:t>
      </w:r>
      <w:proofErr w:type="gramStart"/>
      <w:r>
        <w:rPr>
          <w:lang w:val="en-US"/>
        </w:rPr>
        <w:t>&gt; ?</w:t>
      </w:r>
      <w:proofErr w:type="gramEnd"/>
    </w:p>
    <w:p w14:paraId="0C80755F" w14:textId="77777777" w:rsidR="00260CD7" w:rsidRDefault="00260CD7" w:rsidP="00260CD7">
      <w:pPr>
        <w:pStyle w:val="Paragraphedeliste"/>
        <w:numPr>
          <w:ilvl w:val="0"/>
          <w:numId w:val="3"/>
        </w:numPr>
        <w:spacing w:line="256" w:lineRule="auto"/>
        <w:jc w:val="both"/>
        <w:rPr>
          <w:szCs w:val="24"/>
          <w:lang w:val="en-US"/>
        </w:rPr>
      </w:pPr>
      <w:r>
        <w:rPr>
          <w:lang w:val="en-US"/>
        </w:rPr>
        <w:t>Eurostat</w:t>
      </w:r>
    </w:p>
    <w:p w14:paraId="372366CC" w14:textId="77777777" w:rsidR="00260CD7" w:rsidRDefault="00260CD7" w:rsidP="00260CD7">
      <w:pPr>
        <w:pStyle w:val="Paragraphedeliste"/>
        <w:numPr>
          <w:ilvl w:val="1"/>
          <w:numId w:val="3"/>
        </w:numPr>
        <w:spacing w:line="256" w:lineRule="auto"/>
        <w:jc w:val="both"/>
        <w:rPr>
          <w:szCs w:val="24"/>
          <w:lang w:val="en-US"/>
        </w:rPr>
      </w:pPr>
      <w:r>
        <w:rPr>
          <w:lang w:val="en-US"/>
        </w:rPr>
        <w:t>Consumption Expenditure by Quintile</w:t>
      </w:r>
    </w:p>
    <w:p w14:paraId="642B7D2B" w14:textId="77777777" w:rsidR="00260CD7" w:rsidRDefault="00260CD7" w:rsidP="00260CD7">
      <w:pPr>
        <w:pStyle w:val="Paragraphedeliste"/>
        <w:numPr>
          <w:ilvl w:val="2"/>
          <w:numId w:val="3"/>
        </w:numPr>
        <w:spacing w:line="256" w:lineRule="auto"/>
        <w:jc w:val="both"/>
        <w:rPr>
          <w:szCs w:val="24"/>
          <w:lang w:val="en-US"/>
        </w:rPr>
      </w:pPr>
      <w:r>
        <w:rPr>
          <w:lang w:val="en-US"/>
        </w:rPr>
        <w:t>Mean consumption exp. By quintile</w:t>
      </w:r>
    </w:p>
    <w:p w14:paraId="736DCB63" w14:textId="77777777" w:rsidR="00260CD7" w:rsidRDefault="00260CD7" w:rsidP="00260CD7">
      <w:pPr>
        <w:pStyle w:val="Paragraphedeliste"/>
        <w:numPr>
          <w:ilvl w:val="2"/>
          <w:numId w:val="3"/>
        </w:numPr>
        <w:spacing w:line="256" w:lineRule="auto"/>
        <w:jc w:val="both"/>
        <w:rPr>
          <w:szCs w:val="24"/>
          <w:lang w:val="en-US"/>
        </w:rPr>
      </w:pPr>
      <w:r>
        <w:rPr>
          <w:lang w:val="en-US"/>
        </w:rPr>
        <w:t>____________________ by COICOP level</w:t>
      </w:r>
    </w:p>
    <w:p w14:paraId="56207CF7" w14:textId="77777777" w:rsidR="00260CD7" w:rsidRDefault="00260CD7" w:rsidP="00260CD7">
      <w:pPr>
        <w:pStyle w:val="Paragraphedeliste"/>
        <w:numPr>
          <w:ilvl w:val="1"/>
          <w:numId w:val="3"/>
        </w:numPr>
        <w:spacing w:line="256" w:lineRule="auto"/>
        <w:jc w:val="both"/>
        <w:rPr>
          <w:szCs w:val="24"/>
          <w:lang w:val="en-US"/>
        </w:rPr>
      </w:pPr>
      <w:r>
        <w:rPr>
          <w:lang w:val="en-US"/>
        </w:rPr>
        <w:t>Distribution of Income by Quintile</w:t>
      </w:r>
    </w:p>
    <w:p w14:paraId="06322485" w14:textId="7AD43D04" w:rsidR="00260CD7" w:rsidRPr="00260CD7" w:rsidRDefault="00260CD7" w:rsidP="00260CD7">
      <w:pPr>
        <w:pStyle w:val="Paragraphedeliste"/>
        <w:numPr>
          <w:ilvl w:val="1"/>
          <w:numId w:val="3"/>
        </w:numPr>
        <w:spacing w:line="256" w:lineRule="auto"/>
        <w:jc w:val="both"/>
        <w:rPr>
          <w:szCs w:val="24"/>
          <w:lang w:val="en-US"/>
        </w:rPr>
      </w:pPr>
      <w:r>
        <w:rPr>
          <w:lang w:val="en-US"/>
        </w:rPr>
        <w:t>Implicit Tax Rate --&gt; aggregated taxes / aggregated domestic expenditure</w:t>
      </w:r>
    </w:p>
    <w:p w14:paraId="547A72A9" w14:textId="77777777" w:rsidR="00260CD7" w:rsidRDefault="00260CD7" w:rsidP="0013378B">
      <w:pPr>
        <w:pStyle w:val="Titre2"/>
      </w:pPr>
    </w:p>
    <w:p w14:paraId="44AD72B4" w14:textId="024E1F3E" w:rsidR="0001520F" w:rsidRDefault="0013378B" w:rsidP="0013378B">
      <w:pPr>
        <w:pStyle w:val="Titre2"/>
      </w:pPr>
      <w:r w:rsidRPr="0013378B">
        <w:t>Qui paie les taxes indirectes en France ?</w:t>
      </w:r>
      <w:r>
        <w:br/>
        <w:t xml:space="preserve">Estimations à partir d’un modèle de </w:t>
      </w:r>
      <w:proofErr w:type="spellStart"/>
      <w:r>
        <w:t>microsimulation</w:t>
      </w:r>
      <w:proofErr w:type="spellEnd"/>
    </w:p>
    <w:p w14:paraId="165C208A" w14:textId="08616F65" w:rsidR="0013378B" w:rsidRDefault="0013378B" w:rsidP="0013378B">
      <w:r w:rsidRPr="0013378B">
        <w:t>Roy Dauvergne</w:t>
      </w:r>
      <w:r>
        <w:t xml:space="preserve"> (2012)</w:t>
      </w:r>
    </w:p>
    <w:p w14:paraId="203E12BC" w14:textId="0FD0E036" w:rsidR="0013378B" w:rsidRDefault="00567188" w:rsidP="00567188">
      <w:pPr>
        <w:pStyle w:val="Paragraphedeliste"/>
        <w:numPr>
          <w:ilvl w:val="0"/>
          <w:numId w:val="1"/>
        </w:numPr>
      </w:pPr>
      <w:r>
        <w:t xml:space="preserve">Travail empirique sur les taxes indirectes (TVA, accises, etc.) sur la France, sur les effets </w:t>
      </w:r>
      <w:proofErr w:type="spellStart"/>
      <w:r>
        <w:t>redistributifs</w:t>
      </w:r>
      <w:proofErr w:type="spellEnd"/>
      <w:r>
        <w:t xml:space="preserve"> et en particulier les effets des différentes réformes</w:t>
      </w:r>
    </w:p>
    <w:p w14:paraId="0BB73DF7" w14:textId="5E30E0CA" w:rsidR="00567188" w:rsidRPr="00A96A82" w:rsidRDefault="00567188" w:rsidP="00567188">
      <w:pPr>
        <w:pStyle w:val="Paragraphedeliste"/>
        <w:numPr>
          <w:ilvl w:val="0"/>
          <w:numId w:val="1"/>
        </w:numPr>
      </w:pPr>
      <w:r>
        <w:t xml:space="preserve">Travail sur l’enquête budget des familles (BDF) de l’INSEE, qui donne </w:t>
      </w:r>
      <w:r w:rsidRPr="00567188">
        <w:rPr>
          <w:b/>
        </w:rPr>
        <w:t>la composition du panier ainsi que les revenus</w:t>
      </w:r>
    </w:p>
    <w:p w14:paraId="43DCE987" w14:textId="3D4885FD" w:rsidR="00A96A82" w:rsidRDefault="00A96A82" w:rsidP="00567188">
      <w:pPr>
        <w:pStyle w:val="Paragraphedeliste"/>
        <w:numPr>
          <w:ilvl w:val="0"/>
          <w:numId w:val="1"/>
        </w:numPr>
        <w:rPr>
          <w:b/>
        </w:rPr>
      </w:pPr>
      <w:r>
        <w:t xml:space="preserve">En ce qui concerne le taux d’effort, réflexion intéressante sur le fait qu’il n’est peut-être pas forcément pertinent de comparer le total de TVA payé et le revenu net du ménage. En effet, en cas de choc négatif, par effet cliquet, le ménage va ajuster son épargne pour tenter de lisser sa consommation. Cela peut donc surestimer la consommation des ménages aux plus faibles revenus, et donc à surestimer la </w:t>
      </w:r>
      <w:proofErr w:type="spellStart"/>
      <w:r>
        <w:t>régressivité</w:t>
      </w:r>
      <w:proofErr w:type="spellEnd"/>
      <w:r>
        <w:t xml:space="preserve">. Cette réflexion n’est à mon sens valable que s’il n’existe pas l’effet inverse (i.e. peu de modification de la consommation en cas de choc </w:t>
      </w:r>
      <w:proofErr w:type="spellStart"/>
      <w:r>
        <w:t>posifit</w:t>
      </w:r>
      <w:proofErr w:type="spellEnd"/>
      <w:r>
        <w:t xml:space="preserve">). Une alternative pour éviter cet écueil est de comparer le total de TVA payée au montant de la consommation </w:t>
      </w:r>
      <w:r>
        <w:sym w:font="Wingdings" w:char="F0E0"/>
      </w:r>
      <w:r>
        <w:t xml:space="preserve"> cela ne va mesurer que l’effet « modification du panier » et </w:t>
      </w:r>
      <w:r>
        <w:lastRenderedPageBreak/>
        <w:t>plus l’effet « propension à consommer ». Une autre alternative enfin (peut-être moins grossière) consiste à comparer en fonction du revenu permanent.</w:t>
      </w:r>
      <w:r w:rsidR="00C13B97">
        <w:br/>
      </w:r>
      <w:r w:rsidR="00C13B97">
        <w:sym w:font="Wingdings" w:char="F0E0"/>
      </w:r>
      <w:r w:rsidR="00C13B97">
        <w:t xml:space="preserve"> </w:t>
      </w:r>
      <w:r w:rsidR="00C13B97" w:rsidRPr="00C13B97">
        <w:rPr>
          <w:b/>
        </w:rPr>
        <w:t xml:space="preserve">3 définitions de taux d’effort </w:t>
      </w:r>
    </w:p>
    <w:p w14:paraId="42046FE9" w14:textId="308C4A7B" w:rsidR="006D674E" w:rsidRPr="006D674E" w:rsidRDefault="00C13B97" w:rsidP="00567188">
      <w:pPr>
        <w:pStyle w:val="Paragraphedeliste"/>
        <w:numPr>
          <w:ilvl w:val="0"/>
          <w:numId w:val="1"/>
        </w:numPr>
        <w:rPr>
          <w:b/>
        </w:rPr>
      </w:pPr>
      <w:r>
        <w:t>Pour calculer</w:t>
      </w:r>
      <w:r w:rsidR="006D674E">
        <w:t xml:space="preserve"> une approximation du revenu permanent, on modélise un choc indépendant par rapport à un revenu régressé sur certains déterminants </w:t>
      </w:r>
      <w:proofErr w:type="spellStart"/>
      <w:r w:rsidR="006D674E">
        <w:t>socio-démographiques</w:t>
      </w:r>
      <w:proofErr w:type="spellEnd"/>
      <w:r w:rsidR="006D674E">
        <w:t xml:space="preserve"> sur les données en coupe (on n’a qu’une observation par cycle de vie)</w:t>
      </w:r>
    </w:p>
    <w:p w14:paraId="22490BFC" w14:textId="7E97EC0F" w:rsidR="00C13B97" w:rsidRPr="00CA6956" w:rsidRDefault="00C13B97" w:rsidP="00567188">
      <w:pPr>
        <w:pStyle w:val="Paragraphedeliste"/>
        <w:numPr>
          <w:ilvl w:val="0"/>
          <w:numId w:val="1"/>
        </w:numPr>
        <w:rPr>
          <w:b/>
        </w:rPr>
      </w:pPr>
      <w:r>
        <w:t xml:space="preserve"> </w:t>
      </w:r>
      <w:r w:rsidR="006D674E">
        <w:t>Partie III : des résultats par décile de consommation : en 2005 on observe une part des taxes dans la consommation constante </w:t>
      </w:r>
      <w:r w:rsidR="006D674E">
        <w:sym w:font="Wingdings" w:char="F0E0"/>
      </w:r>
      <w:r w:rsidR="006D674E">
        <w:t xml:space="preserve"> effet panier négligeable ?</w:t>
      </w:r>
    </w:p>
    <w:p w14:paraId="44DE580E" w14:textId="19F91149" w:rsidR="00CA6956" w:rsidRPr="00260CD7" w:rsidRDefault="00CA6956" w:rsidP="00260CD7">
      <w:pPr>
        <w:pStyle w:val="Paragraphedeliste"/>
        <w:numPr>
          <w:ilvl w:val="0"/>
          <w:numId w:val="1"/>
        </w:numPr>
        <w:rPr>
          <w:b/>
        </w:rPr>
      </w:pPr>
      <w:r>
        <w:t>Deux dynamiques contradictoires dans l’effet panier : les taxes sur l’alcool et le tabac (fortement régressives), celles sur la restauration (régressives) et les taxes sur les produits de luxe (progressives) et les biens de 1</w:t>
      </w:r>
      <w:r w:rsidRPr="00CA6956">
        <w:rPr>
          <w:vertAlign w:val="superscript"/>
        </w:rPr>
        <w:t>re</w:t>
      </w:r>
      <w:r>
        <w:t xml:space="preserve"> nécessité (progressives). La </w:t>
      </w:r>
      <w:proofErr w:type="spellStart"/>
      <w:r>
        <w:t>picture</w:t>
      </w:r>
      <w:proofErr w:type="spellEnd"/>
      <w:r>
        <w:t xml:space="preserve"> est encore différente si on inclut ou pas le loyer : si on inclut le loyer dans la consommation, on a l’impression que c’est + progressif</w:t>
      </w:r>
      <w:bookmarkStart w:id="0" w:name="_GoBack"/>
      <w:bookmarkEnd w:id="0"/>
    </w:p>
    <w:sectPr w:rsidR="00CA6956" w:rsidRPr="00260C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33C86"/>
    <w:multiLevelType w:val="hybridMultilevel"/>
    <w:tmpl w:val="58A8908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nsid w:val="4CA8190A"/>
    <w:multiLevelType w:val="hybridMultilevel"/>
    <w:tmpl w:val="ACC44554"/>
    <w:lvl w:ilvl="0" w:tplc="3E0A8200">
      <w:start w:val="1"/>
      <w:numFmt w:val="bullet"/>
      <w:lvlText w:val=""/>
      <w:lvlJc w:val="left"/>
      <w:pPr>
        <w:ind w:left="720" w:hanging="360"/>
      </w:pPr>
      <w:rPr>
        <w:rFonts w:ascii="Symbol" w:hAnsi="Symbol" w:hint="default"/>
      </w:rPr>
    </w:lvl>
    <w:lvl w:ilvl="1" w:tplc="AD506CBE">
      <w:start w:val="1"/>
      <w:numFmt w:val="bullet"/>
      <w:lvlText w:val="o"/>
      <w:lvlJc w:val="left"/>
      <w:pPr>
        <w:ind w:left="1440" w:hanging="360"/>
      </w:pPr>
      <w:rPr>
        <w:rFonts w:ascii="Courier New" w:hAnsi="Courier New" w:cs="Times New Roman" w:hint="default"/>
      </w:rPr>
    </w:lvl>
    <w:lvl w:ilvl="2" w:tplc="392474E8">
      <w:start w:val="1"/>
      <w:numFmt w:val="bullet"/>
      <w:lvlText w:val=""/>
      <w:lvlJc w:val="left"/>
      <w:pPr>
        <w:ind w:left="2160" w:hanging="360"/>
      </w:pPr>
      <w:rPr>
        <w:rFonts w:ascii="Wingdings" w:hAnsi="Wingdings" w:hint="default"/>
      </w:rPr>
    </w:lvl>
    <w:lvl w:ilvl="3" w:tplc="448AE310">
      <w:start w:val="1"/>
      <w:numFmt w:val="bullet"/>
      <w:lvlText w:val=""/>
      <w:lvlJc w:val="left"/>
      <w:pPr>
        <w:ind w:left="2880" w:hanging="360"/>
      </w:pPr>
      <w:rPr>
        <w:rFonts w:ascii="Symbol" w:hAnsi="Symbol" w:hint="default"/>
      </w:rPr>
    </w:lvl>
    <w:lvl w:ilvl="4" w:tplc="7FB85BB8">
      <w:start w:val="1"/>
      <w:numFmt w:val="bullet"/>
      <w:lvlText w:val="o"/>
      <w:lvlJc w:val="left"/>
      <w:pPr>
        <w:ind w:left="3600" w:hanging="360"/>
      </w:pPr>
      <w:rPr>
        <w:rFonts w:ascii="Courier New" w:hAnsi="Courier New" w:cs="Times New Roman" w:hint="default"/>
      </w:rPr>
    </w:lvl>
    <w:lvl w:ilvl="5" w:tplc="3116658A">
      <w:start w:val="1"/>
      <w:numFmt w:val="bullet"/>
      <w:lvlText w:val=""/>
      <w:lvlJc w:val="left"/>
      <w:pPr>
        <w:ind w:left="4320" w:hanging="360"/>
      </w:pPr>
      <w:rPr>
        <w:rFonts w:ascii="Wingdings" w:hAnsi="Wingdings" w:hint="default"/>
      </w:rPr>
    </w:lvl>
    <w:lvl w:ilvl="6" w:tplc="C548DDC6">
      <w:start w:val="1"/>
      <w:numFmt w:val="bullet"/>
      <w:lvlText w:val=""/>
      <w:lvlJc w:val="left"/>
      <w:pPr>
        <w:ind w:left="5040" w:hanging="360"/>
      </w:pPr>
      <w:rPr>
        <w:rFonts w:ascii="Symbol" w:hAnsi="Symbol" w:hint="default"/>
      </w:rPr>
    </w:lvl>
    <w:lvl w:ilvl="7" w:tplc="6FB84F4E">
      <w:start w:val="1"/>
      <w:numFmt w:val="bullet"/>
      <w:lvlText w:val="o"/>
      <w:lvlJc w:val="left"/>
      <w:pPr>
        <w:ind w:left="5760" w:hanging="360"/>
      </w:pPr>
      <w:rPr>
        <w:rFonts w:ascii="Courier New" w:hAnsi="Courier New" w:cs="Times New Roman" w:hint="default"/>
      </w:rPr>
    </w:lvl>
    <w:lvl w:ilvl="8" w:tplc="F03E3456">
      <w:start w:val="1"/>
      <w:numFmt w:val="bullet"/>
      <w:lvlText w:val=""/>
      <w:lvlJc w:val="left"/>
      <w:pPr>
        <w:ind w:left="6480" w:hanging="360"/>
      </w:pPr>
      <w:rPr>
        <w:rFonts w:ascii="Wingdings" w:hAnsi="Wingdings" w:hint="default"/>
      </w:rPr>
    </w:lvl>
  </w:abstractNum>
  <w:abstractNum w:abstractNumId="2">
    <w:nsid w:val="6F1E1D15"/>
    <w:multiLevelType w:val="hybridMultilevel"/>
    <w:tmpl w:val="E28E2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20F"/>
    <w:rsid w:val="0001520F"/>
    <w:rsid w:val="0013378B"/>
    <w:rsid w:val="00260CD7"/>
    <w:rsid w:val="00357250"/>
    <w:rsid w:val="00567188"/>
    <w:rsid w:val="006D674E"/>
    <w:rsid w:val="00A96A82"/>
    <w:rsid w:val="00C13B97"/>
    <w:rsid w:val="00CA69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7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13378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3378B"/>
    <w:rPr>
      <w:rFonts w:asciiTheme="majorHAnsi" w:eastAsiaTheme="majorEastAsia" w:hAnsiTheme="majorHAnsi" w:cstheme="majorBidi"/>
      <w:b/>
      <w:bCs/>
      <w:color w:val="5B9BD5" w:themeColor="accent1"/>
      <w:sz w:val="26"/>
      <w:szCs w:val="26"/>
    </w:rPr>
  </w:style>
  <w:style w:type="paragraph" w:styleId="Paragraphedeliste">
    <w:name w:val="List Paragraph"/>
    <w:basedOn w:val="Normal"/>
    <w:uiPriority w:val="34"/>
    <w:qFormat/>
    <w:rsid w:val="005671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13378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3378B"/>
    <w:rPr>
      <w:rFonts w:asciiTheme="majorHAnsi" w:eastAsiaTheme="majorEastAsia" w:hAnsiTheme="majorHAnsi" w:cstheme="majorBidi"/>
      <w:b/>
      <w:bCs/>
      <w:color w:val="5B9BD5" w:themeColor="accent1"/>
      <w:sz w:val="26"/>
      <w:szCs w:val="26"/>
    </w:rPr>
  </w:style>
  <w:style w:type="paragraph" w:styleId="Paragraphedeliste">
    <w:name w:val="List Paragraph"/>
    <w:basedOn w:val="Normal"/>
    <w:uiPriority w:val="34"/>
    <w:qFormat/>
    <w:rsid w:val="00567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58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477</Words>
  <Characters>2628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Blasco</dc:creator>
  <cp:keywords/>
  <dc:description/>
  <cp:lastModifiedBy>SciencesPo</cp:lastModifiedBy>
  <cp:revision>4</cp:revision>
  <dcterms:created xsi:type="dcterms:W3CDTF">2017-05-04T08:41:00Z</dcterms:created>
  <dcterms:modified xsi:type="dcterms:W3CDTF">2017-05-17T08:06:00Z</dcterms:modified>
</cp:coreProperties>
</file>