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D72B4" w14:textId="024E1F3E" w:rsidR="0001520F" w:rsidRDefault="0013378B" w:rsidP="0013378B">
      <w:pPr>
        <w:pStyle w:val="Titre2"/>
      </w:pPr>
      <w:r w:rsidRPr="0013378B">
        <w:t>Qui paie les taxes indirectes en France ?</w:t>
      </w:r>
      <w:r>
        <w:br/>
        <w:t>Estimations à partir d’un modèle de microsimulation</w:t>
      </w:r>
    </w:p>
    <w:p w14:paraId="165C208A" w14:textId="08616F65" w:rsidR="0013378B" w:rsidRDefault="0013378B" w:rsidP="0013378B">
      <w:r w:rsidRPr="0013378B">
        <w:t>Roy Dauvergne</w:t>
      </w:r>
      <w:r>
        <w:t xml:space="preserve"> (2012)</w:t>
      </w:r>
    </w:p>
    <w:p w14:paraId="203E12BC" w14:textId="0FD0E036" w:rsidR="0013378B" w:rsidRDefault="00567188" w:rsidP="00567188">
      <w:pPr>
        <w:pStyle w:val="Paragraphedeliste"/>
        <w:numPr>
          <w:ilvl w:val="0"/>
          <w:numId w:val="1"/>
        </w:numPr>
      </w:pPr>
      <w:r>
        <w:t>Travail empirique sur les taxes indirectes (TVA, accises, etc.) sur la France, sur les effets redistributifs et en particulier les effets des différentes réformes</w:t>
      </w:r>
    </w:p>
    <w:p w14:paraId="0BB73DF7" w14:textId="5E30E0CA" w:rsidR="00567188" w:rsidRPr="00A96A82" w:rsidRDefault="00567188" w:rsidP="00567188">
      <w:pPr>
        <w:pStyle w:val="Paragraphedeliste"/>
        <w:numPr>
          <w:ilvl w:val="0"/>
          <w:numId w:val="1"/>
        </w:numPr>
      </w:pPr>
      <w:r>
        <w:t xml:space="preserve">Travail sur l’enquête budget des familles (BDF) de l’INSEE, qui donne </w:t>
      </w:r>
      <w:r w:rsidRPr="00567188">
        <w:rPr>
          <w:b/>
        </w:rPr>
        <w:t>la composition du panier ainsi que les revenus</w:t>
      </w:r>
    </w:p>
    <w:p w14:paraId="43DCE987" w14:textId="45BA9E36" w:rsidR="00A96A82" w:rsidRPr="0013378B" w:rsidRDefault="00A96A82" w:rsidP="00567188">
      <w:pPr>
        <w:pStyle w:val="Paragraphedeliste"/>
        <w:numPr>
          <w:ilvl w:val="0"/>
          <w:numId w:val="1"/>
        </w:numPr>
      </w:pPr>
      <w:r>
        <w:t>En ce qui concerne le taux d’effort, r</w:t>
      </w:r>
      <w:bookmarkStart w:id="0" w:name="_GoBack"/>
      <w:bookmarkEnd w:id="0"/>
      <w:r>
        <w:t xml:space="preserve">éflexion intéressante sur le fait qu’il n’est peut-être pas forcément pertinent de comparer le total de TVA payé et le revenu net du ménage. En effet, en cas de choc négatif, par effet cliquet, le ménage va ajuster son épargne pour tenter de lisser sa consommation. Cela peut donc surestimer la consommation des ménages aux plus faibles revenus, et donc à surestimer la régressivité. Cette réflexion n’est à mon sens valable que s’il n’existe pas l’effet inverse (i.e. peu de modification de la consommation en cas de choc posifit). Une alternative pour éviter cet écueil est de comparer le total de TVA payée au montant de la consommation </w:t>
      </w:r>
      <w:r>
        <w:sym w:font="Wingdings" w:char="F0E0"/>
      </w:r>
      <w:r>
        <w:t xml:space="preserve"> cela ne va mesurer que l’effet « modification du panier » et plus l’effet « propension à consommer ». Une autre alternative enfin (peut-être moins grossière) consiste à comparer en fonction du revenu permanent.</w:t>
      </w:r>
    </w:p>
    <w:sectPr w:rsidR="00A96A82" w:rsidRPr="001337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E1D15"/>
    <w:multiLevelType w:val="hybridMultilevel"/>
    <w:tmpl w:val="E28E2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F"/>
    <w:rsid w:val="0001520F"/>
    <w:rsid w:val="0013378B"/>
    <w:rsid w:val="00567188"/>
    <w:rsid w:val="00A96A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197</Words>
  <Characters>1089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Blasco</dc:creator>
  <cp:keywords/>
  <dc:description/>
  <cp:lastModifiedBy>SciencesPo</cp:lastModifiedBy>
  <cp:revision>2</cp:revision>
  <dcterms:created xsi:type="dcterms:W3CDTF">2017-05-04T08:41:00Z</dcterms:created>
  <dcterms:modified xsi:type="dcterms:W3CDTF">2017-05-09T15:46:00Z</dcterms:modified>
</cp:coreProperties>
</file>