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B75F94" w14:textId="3721C7BC" w:rsidR="00595ED6" w:rsidRDefault="00654F9A" w:rsidP="00595ED6">
      <w:pPr>
        <w:widowControl w:val="0"/>
        <w:autoSpaceDE w:val="0"/>
        <w:autoSpaceDN w:val="0"/>
        <w:adjustRightInd w:val="0"/>
        <w:spacing w:after="120" w:line="276" w:lineRule="auto"/>
        <w:jc w:val="both"/>
        <w:outlineLvl w:val="0"/>
        <w:rPr>
          <w:rFonts w:cs="Arial"/>
          <w:b/>
          <w:color w:val="1A1A1A"/>
        </w:rPr>
      </w:pPr>
      <w:r>
        <w:rPr>
          <w:rFonts w:cs="Arial"/>
          <w:b/>
          <w:color w:val="1A1A1A"/>
        </w:rPr>
        <w:t xml:space="preserve">ECHANTILLON </w:t>
      </w:r>
      <w:r w:rsidR="00B43B68">
        <w:rPr>
          <w:rFonts w:cs="Arial"/>
          <w:b/>
          <w:color w:val="1A1A1A"/>
        </w:rPr>
        <w:t>LIS (</w:t>
      </w:r>
      <w:proofErr w:type="spellStart"/>
      <w:r w:rsidR="00B43B68">
        <w:rPr>
          <w:rFonts w:cs="Arial"/>
          <w:b/>
          <w:color w:val="1A1A1A"/>
        </w:rPr>
        <w:t>Gross+Mixed</w:t>
      </w:r>
      <w:proofErr w:type="spellEnd"/>
      <w:r w:rsidR="00B43B68">
        <w:rPr>
          <w:rFonts w:cs="Arial"/>
          <w:b/>
          <w:color w:val="1A1A1A"/>
        </w:rPr>
        <w:t>) :</w:t>
      </w:r>
      <w:r w:rsidR="00595ED6">
        <w:rPr>
          <w:rFonts w:cs="Arial"/>
          <w:b/>
          <w:color w:val="1A1A1A"/>
        </w:rPr>
        <w:t xml:space="preserve"> 24 pays</w:t>
      </w:r>
    </w:p>
    <w:p w14:paraId="29DA7D45" w14:textId="287275C1" w:rsidR="00595ED6" w:rsidRDefault="00595ED6" w:rsidP="00595ED6">
      <w:pPr>
        <w:widowControl w:val="0"/>
        <w:autoSpaceDE w:val="0"/>
        <w:autoSpaceDN w:val="0"/>
        <w:adjustRightInd w:val="0"/>
        <w:spacing w:after="120" w:line="276" w:lineRule="auto"/>
        <w:jc w:val="both"/>
        <w:outlineLvl w:val="0"/>
        <w:rPr>
          <w:rFonts w:cs="Arial"/>
          <w:color w:val="1A1A1A"/>
        </w:rPr>
      </w:pPr>
      <w:proofErr w:type="spellStart"/>
      <w:r w:rsidRPr="00595ED6">
        <w:rPr>
          <w:rFonts w:cs="Arial"/>
          <w:color w:val="1A1A1A"/>
        </w:rPr>
        <w:t>Austria</w:t>
      </w:r>
      <w:proofErr w:type="spellEnd"/>
      <w:r w:rsidRPr="00595ED6">
        <w:rPr>
          <w:rFonts w:cs="Arial"/>
          <w:color w:val="1A1A1A"/>
        </w:rPr>
        <w:t xml:space="preserve">, </w:t>
      </w:r>
      <w:proofErr w:type="spellStart"/>
      <w:r w:rsidRPr="00595ED6">
        <w:rPr>
          <w:rFonts w:cs="Arial"/>
          <w:color w:val="1A1A1A"/>
        </w:rPr>
        <w:t>Australia</w:t>
      </w:r>
      <w:proofErr w:type="spellEnd"/>
      <w:r w:rsidRPr="00595ED6">
        <w:rPr>
          <w:rFonts w:cs="Arial"/>
          <w:color w:val="1A1A1A"/>
        </w:rPr>
        <w:t xml:space="preserve">, Canada, </w:t>
      </w:r>
      <w:proofErr w:type="spellStart"/>
      <w:r w:rsidRPr="00595ED6">
        <w:rPr>
          <w:rFonts w:cs="Arial"/>
          <w:color w:val="1A1A1A"/>
        </w:rPr>
        <w:t>Czech</w:t>
      </w:r>
      <w:proofErr w:type="spellEnd"/>
      <w:r w:rsidRPr="00595ED6">
        <w:rPr>
          <w:rFonts w:cs="Arial"/>
          <w:color w:val="1A1A1A"/>
        </w:rPr>
        <w:t xml:space="preserve"> </w:t>
      </w:r>
      <w:proofErr w:type="spellStart"/>
      <w:r w:rsidRPr="00595ED6">
        <w:rPr>
          <w:rFonts w:cs="Arial"/>
          <w:color w:val="1A1A1A"/>
        </w:rPr>
        <w:t>Republic</w:t>
      </w:r>
      <w:proofErr w:type="spellEnd"/>
      <w:r w:rsidRPr="00595ED6">
        <w:rPr>
          <w:rFonts w:cs="Arial"/>
          <w:color w:val="1A1A1A"/>
        </w:rPr>
        <w:t xml:space="preserve">, </w:t>
      </w:r>
      <w:proofErr w:type="spellStart"/>
      <w:r w:rsidRPr="00595ED6">
        <w:rPr>
          <w:rFonts w:cs="Arial"/>
          <w:color w:val="1A1A1A"/>
        </w:rPr>
        <w:t>Denmark</w:t>
      </w:r>
      <w:proofErr w:type="spellEnd"/>
      <w:r w:rsidRPr="00595ED6">
        <w:rPr>
          <w:rFonts w:cs="Arial"/>
          <w:color w:val="1A1A1A"/>
        </w:rPr>
        <w:t xml:space="preserve">, </w:t>
      </w:r>
      <w:proofErr w:type="spellStart"/>
      <w:r w:rsidRPr="00595ED6">
        <w:rPr>
          <w:rFonts w:cs="Arial"/>
          <w:color w:val="1A1A1A"/>
        </w:rPr>
        <w:t>Estonia</w:t>
      </w:r>
      <w:proofErr w:type="spellEnd"/>
      <w:r w:rsidRPr="00595ED6">
        <w:rPr>
          <w:rFonts w:cs="Arial"/>
          <w:color w:val="1A1A1A"/>
        </w:rPr>
        <w:t xml:space="preserve">, </w:t>
      </w:r>
      <w:proofErr w:type="spellStart"/>
      <w:r w:rsidRPr="00595ED6">
        <w:rPr>
          <w:rFonts w:cs="Arial"/>
          <w:color w:val="1A1A1A"/>
        </w:rPr>
        <w:t>Finland</w:t>
      </w:r>
      <w:proofErr w:type="spellEnd"/>
      <w:r w:rsidRPr="00595ED6">
        <w:rPr>
          <w:rFonts w:cs="Arial"/>
          <w:color w:val="1A1A1A"/>
        </w:rPr>
        <w:t xml:space="preserve">, France, </w:t>
      </w:r>
      <w:r w:rsidR="00944D66" w:rsidRPr="00595ED6">
        <w:rPr>
          <w:rFonts w:cs="Arial"/>
          <w:color w:val="1A1A1A"/>
        </w:rPr>
        <w:t xml:space="preserve">Germany, </w:t>
      </w:r>
      <w:proofErr w:type="spellStart"/>
      <w:r w:rsidRPr="00595ED6">
        <w:rPr>
          <w:rFonts w:cs="Arial"/>
          <w:color w:val="1A1A1A"/>
        </w:rPr>
        <w:t>Greece</w:t>
      </w:r>
      <w:proofErr w:type="spellEnd"/>
      <w:r w:rsidRPr="00595ED6">
        <w:rPr>
          <w:rFonts w:cs="Arial"/>
          <w:color w:val="1A1A1A"/>
        </w:rPr>
        <w:t xml:space="preserve">, </w:t>
      </w:r>
      <w:proofErr w:type="spellStart"/>
      <w:r w:rsidR="00311E57" w:rsidRPr="00595ED6">
        <w:rPr>
          <w:rFonts w:cs="Arial"/>
          <w:color w:val="1A1A1A"/>
        </w:rPr>
        <w:t>Iceland</w:t>
      </w:r>
      <w:proofErr w:type="spellEnd"/>
      <w:r w:rsidR="00311E57" w:rsidRPr="00595ED6">
        <w:rPr>
          <w:rFonts w:cs="Arial"/>
          <w:color w:val="1A1A1A"/>
        </w:rPr>
        <w:t xml:space="preserve">, </w:t>
      </w:r>
      <w:r w:rsidRPr="00595ED6">
        <w:rPr>
          <w:rFonts w:cs="Arial"/>
          <w:color w:val="1A1A1A"/>
        </w:rPr>
        <w:t xml:space="preserve">Ireland, </w:t>
      </w:r>
      <w:proofErr w:type="spellStart"/>
      <w:r w:rsidRPr="00595ED6">
        <w:rPr>
          <w:rFonts w:cs="Arial"/>
          <w:color w:val="1A1A1A"/>
        </w:rPr>
        <w:t>Israel</w:t>
      </w:r>
      <w:proofErr w:type="spellEnd"/>
      <w:r w:rsidRPr="00595ED6">
        <w:rPr>
          <w:rFonts w:cs="Arial"/>
          <w:color w:val="1A1A1A"/>
        </w:rPr>
        <w:t xml:space="preserve">, </w:t>
      </w:r>
      <w:proofErr w:type="spellStart"/>
      <w:r w:rsidRPr="00595ED6">
        <w:rPr>
          <w:rFonts w:cs="Arial"/>
          <w:color w:val="1A1A1A"/>
        </w:rPr>
        <w:t>Italy</w:t>
      </w:r>
      <w:proofErr w:type="spellEnd"/>
      <w:r w:rsidRPr="00595ED6">
        <w:rPr>
          <w:rFonts w:cs="Arial"/>
          <w:color w:val="1A1A1A"/>
        </w:rPr>
        <w:t xml:space="preserve">, </w:t>
      </w:r>
      <w:r>
        <w:rPr>
          <w:rFonts w:cs="Arial"/>
          <w:color w:val="1A1A1A"/>
        </w:rPr>
        <w:t>Luxembourg,</w:t>
      </w:r>
      <w:r w:rsidRPr="00595ED6">
        <w:rPr>
          <w:rFonts w:cs="Arial"/>
          <w:color w:val="1A1A1A"/>
        </w:rPr>
        <w:t xml:space="preserve"> </w:t>
      </w:r>
      <w:proofErr w:type="spellStart"/>
      <w:r w:rsidRPr="00595ED6">
        <w:rPr>
          <w:rFonts w:cs="Arial"/>
          <w:color w:val="1A1A1A"/>
        </w:rPr>
        <w:t>Netherlands</w:t>
      </w:r>
      <w:proofErr w:type="spellEnd"/>
      <w:r w:rsidRPr="00595ED6">
        <w:rPr>
          <w:rFonts w:cs="Arial"/>
          <w:color w:val="1A1A1A"/>
        </w:rPr>
        <w:t xml:space="preserve">, </w:t>
      </w:r>
      <w:proofErr w:type="spellStart"/>
      <w:r w:rsidRPr="00595ED6">
        <w:rPr>
          <w:rFonts w:cs="Arial"/>
          <w:color w:val="1A1A1A"/>
        </w:rPr>
        <w:t>Norway</w:t>
      </w:r>
      <w:proofErr w:type="spellEnd"/>
      <w:r w:rsidRPr="00595ED6">
        <w:rPr>
          <w:rFonts w:cs="Arial"/>
          <w:color w:val="1A1A1A"/>
        </w:rPr>
        <w:t xml:space="preserve">, </w:t>
      </w:r>
      <w:proofErr w:type="spellStart"/>
      <w:r w:rsidRPr="00595ED6">
        <w:rPr>
          <w:rFonts w:cs="Arial"/>
          <w:color w:val="1A1A1A"/>
        </w:rPr>
        <w:t>Poland</w:t>
      </w:r>
      <w:proofErr w:type="spellEnd"/>
      <w:r w:rsidRPr="00595ED6">
        <w:rPr>
          <w:rFonts w:cs="Arial"/>
          <w:color w:val="1A1A1A"/>
        </w:rPr>
        <w:t xml:space="preserve">, </w:t>
      </w:r>
      <w:proofErr w:type="spellStart"/>
      <w:r w:rsidRPr="00595ED6">
        <w:rPr>
          <w:rFonts w:cs="Arial"/>
          <w:color w:val="1A1A1A"/>
        </w:rPr>
        <w:t>Slovak</w:t>
      </w:r>
      <w:proofErr w:type="spellEnd"/>
      <w:r w:rsidRPr="00595ED6">
        <w:rPr>
          <w:rFonts w:cs="Arial"/>
          <w:color w:val="1A1A1A"/>
        </w:rPr>
        <w:t xml:space="preserve"> </w:t>
      </w:r>
      <w:proofErr w:type="spellStart"/>
      <w:r w:rsidRPr="00595ED6">
        <w:rPr>
          <w:rFonts w:cs="Arial"/>
          <w:color w:val="1A1A1A"/>
        </w:rPr>
        <w:t>Republic</w:t>
      </w:r>
      <w:proofErr w:type="spellEnd"/>
      <w:r w:rsidRPr="00595ED6">
        <w:rPr>
          <w:rFonts w:cs="Arial"/>
          <w:color w:val="1A1A1A"/>
        </w:rPr>
        <w:t xml:space="preserve">, </w:t>
      </w:r>
      <w:r w:rsidR="00311E57" w:rsidRPr="00595ED6">
        <w:rPr>
          <w:rFonts w:cs="Arial"/>
          <w:color w:val="1A1A1A"/>
        </w:rPr>
        <w:t xml:space="preserve">Spain, </w:t>
      </w:r>
      <w:proofErr w:type="spellStart"/>
      <w:r w:rsidR="00311E57" w:rsidRPr="00595ED6">
        <w:rPr>
          <w:rFonts w:cs="Arial"/>
          <w:color w:val="1A1A1A"/>
        </w:rPr>
        <w:t>Sweden</w:t>
      </w:r>
      <w:proofErr w:type="spellEnd"/>
      <w:r w:rsidR="00311E57" w:rsidRPr="00595ED6">
        <w:rPr>
          <w:rFonts w:cs="Arial"/>
          <w:color w:val="1A1A1A"/>
        </w:rPr>
        <w:t>,</w:t>
      </w:r>
      <w:r w:rsidR="00311E57">
        <w:rPr>
          <w:rFonts w:cs="Arial"/>
          <w:color w:val="1A1A1A"/>
        </w:rPr>
        <w:t xml:space="preserve"> </w:t>
      </w:r>
      <w:proofErr w:type="spellStart"/>
      <w:r w:rsidR="00944D66" w:rsidRPr="00595ED6">
        <w:rPr>
          <w:rFonts w:cs="Arial"/>
          <w:color w:val="1A1A1A"/>
        </w:rPr>
        <w:t>Switzerland</w:t>
      </w:r>
      <w:proofErr w:type="spellEnd"/>
      <w:r w:rsidR="00944D66" w:rsidRPr="00595ED6">
        <w:rPr>
          <w:rFonts w:cs="Arial"/>
          <w:color w:val="1A1A1A"/>
        </w:rPr>
        <w:t>,</w:t>
      </w:r>
      <w:r w:rsidR="00944D66">
        <w:rPr>
          <w:rFonts w:cs="Arial"/>
          <w:color w:val="1A1A1A"/>
        </w:rPr>
        <w:t xml:space="preserve"> </w:t>
      </w:r>
      <w:r w:rsidRPr="00595ED6">
        <w:rPr>
          <w:rFonts w:cs="Arial"/>
          <w:color w:val="1A1A1A"/>
        </w:rPr>
        <w:t>U</w:t>
      </w:r>
      <w:bookmarkStart w:id="0" w:name="_GoBack"/>
      <w:bookmarkEnd w:id="0"/>
      <w:r w:rsidRPr="00595ED6">
        <w:rPr>
          <w:rFonts w:cs="Arial"/>
          <w:color w:val="1A1A1A"/>
        </w:rPr>
        <w:t xml:space="preserve">nited </w:t>
      </w:r>
      <w:proofErr w:type="spellStart"/>
      <w:r w:rsidRPr="00595ED6">
        <w:rPr>
          <w:rFonts w:cs="Arial"/>
          <w:color w:val="1A1A1A"/>
        </w:rPr>
        <w:t>Kingdom</w:t>
      </w:r>
      <w:proofErr w:type="spellEnd"/>
      <w:r w:rsidRPr="00595ED6">
        <w:rPr>
          <w:rFonts w:cs="Arial"/>
          <w:color w:val="1A1A1A"/>
        </w:rPr>
        <w:t>, United States</w:t>
      </w:r>
    </w:p>
    <w:p w14:paraId="2B7ED640" w14:textId="3BF312A1" w:rsidR="00650E60" w:rsidRPr="007639AE" w:rsidRDefault="00650E60" w:rsidP="00595ED6">
      <w:pPr>
        <w:widowControl w:val="0"/>
        <w:autoSpaceDE w:val="0"/>
        <w:autoSpaceDN w:val="0"/>
        <w:adjustRightInd w:val="0"/>
        <w:spacing w:after="120" w:line="276" w:lineRule="auto"/>
        <w:jc w:val="both"/>
        <w:outlineLvl w:val="0"/>
        <w:rPr>
          <w:rFonts w:cs="Arial"/>
          <w:color w:val="1A1A1A"/>
          <w:u w:val="single"/>
        </w:rPr>
      </w:pPr>
      <w:proofErr w:type="spellStart"/>
      <w:r w:rsidRPr="007639AE">
        <w:rPr>
          <w:rFonts w:cs="Arial"/>
          <w:color w:val="1A1A1A"/>
          <w:u w:val="single"/>
        </w:rPr>
        <w:t>Japan</w:t>
      </w:r>
      <w:proofErr w:type="spellEnd"/>
      <w:r w:rsidRPr="007639AE">
        <w:rPr>
          <w:rFonts w:cs="Arial"/>
          <w:color w:val="1A1A1A"/>
          <w:u w:val="single"/>
        </w:rPr>
        <w:t xml:space="preserve"> and South </w:t>
      </w:r>
      <w:proofErr w:type="spellStart"/>
      <w:r w:rsidRPr="007639AE">
        <w:rPr>
          <w:rFonts w:cs="Arial"/>
          <w:color w:val="1A1A1A"/>
          <w:u w:val="single"/>
        </w:rPr>
        <w:t>Korea</w:t>
      </w:r>
      <w:proofErr w:type="spellEnd"/>
      <w:r w:rsidRPr="007639AE">
        <w:rPr>
          <w:rFonts w:cs="Arial"/>
          <w:color w:val="1A1A1A"/>
          <w:u w:val="single"/>
        </w:rPr>
        <w:t xml:space="preserve"> </w:t>
      </w:r>
      <w:proofErr w:type="spellStart"/>
      <w:r w:rsidRPr="007639AE">
        <w:rPr>
          <w:rFonts w:cs="Arial"/>
          <w:color w:val="1A1A1A"/>
          <w:u w:val="single"/>
        </w:rPr>
        <w:t>excluded</w:t>
      </w:r>
      <w:proofErr w:type="spellEnd"/>
      <w:r w:rsidRPr="007639AE">
        <w:rPr>
          <w:rFonts w:cs="Arial"/>
          <w:color w:val="1A1A1A"/>
          <w:u w:val="single"/>
        </w:rPr>
        <w:t xml:space="preserve"> (</w:t>
      </w:r>
      <w:proofErr w:type="spellStart"/>
      <w:r w:rsidRPr="007639AE">
        <w:rPr>
          <w:rFonts w:cs="Arial"/>
          <w:color w:val="1A1A1A"/>
          <w:u w:val="single"/>
        </w:rPr>
        <w:t>low</w:t>
      </w:r>
      <w:proofErr w:type="spellEnd"/>
      <w:r w:rsidRPr="007639AE">
        <w:rPr>
          <w:rFonts w:cs="Arial"/>
          <w:color w:val="1A1A1A"/>
          <w:u w:val="single"/>
        </w:rPr>
        <w:t xml:space="preserve"> </w:t>
      </w:r>
      <w:proofErr w:type="spellStart"/>
      <w:r w:rsidRPr="007639AE">
        <w:rPr>
          <w:rFonts w:cs="Arial"/>
          <w:color w:val="1A1A1A"/>
          <w:u w:val="single"/>
        </w:rPr>
        <w:t>quality</w:t>
      </w:r>
      <w:proofErr w:type="spellEnd"/>
      <w:r w:rsidRPr="007639AE">
        <w:rPr>
          <w:rFonts w:cs="Arial"/>
          <w:color w:val="1A1A1A"/>
          <w:u w:val="single"/>
        </w:rPr>
        <w:t xml:space="preserve"> </w:t>
      </w:r>
      <w:proofErr w:type="spellStart"/>
      <w:r w:rsidRPr="007639AE">
        <w:rPr>
          <w:rFonts w:cs="Arial"/>
          <w:color w:val="1A1A1A"/>
          <w:u w:val="single"/>
        </w:rPr>
        <w:t>checks</w:t>
      </w:r>
      <w:proofErr w:type="spellEnd"/>
      <w:r w:rsidRPr="007639AE">
        <w:rPr>
          <w:rFonts w:cs="Arial"/>
          <w:color w:val="1A1A1A"/>
          <w:u w:val="single"/>
        </w:rPr>
        <w:t>).</w:t>
      </w:r>
    </w:p>
    <w:p w14:paraId="56F3DA3F" w14:textId="775B34A2" w:rsidR="00C810E5" w:rsidRDefault="00654F9A" w:rsidP="002B01DA">
      <w:pPr>
        <w:widowControl w:val="0"/>
        <w:autoSpaceDE w:val="0"/>
        <w:autoSpaceDN w:val="0"/>
        <w:adjustRightInd w:val="0"/>
        <w:spacing w:after="120" w:line="276" w:lineRule="auto"/>
        <w:jc w:val="both"/>
        <w:outlineLvl w:val="0"/>
        <w:rPr>
          <w:rFonts w:cs="Arial"/>
          <w:b/>
          <w:color w:val="1A1A1A"/>
        </w:rPr>
      </w:pPr>
      <w:r>
        <w:rPr>
          <w:rFonts w:cs="Arial"/>
          <w:b/>
          <w:color w:val="1A1A1A"/>
        </w:rPr>
        <w:t>ECHANTILLON</w:t>
      </w:r>
      <w:r w:rsidR="00C810E5">
        <w:rPr>
          <w:rFonts w:cs="Arial"/>
          <w:b/>
          <w:color w:val="1A1A1A"/>
        </w:rPr>
        <w:t xml:space="preserve"> TVA : 22 pays</w:t>
      </w:r>
    </w:p>
    <w:p w14:paraId="04CFEB1D" w14:textId="4C83B526" w:rsidR="00311E57" w:rsidRPr="00595ED6" w:rsidRDefault="00311E57" w:rsidP="00311E57">
      <w:pPr>
        <w:widowControl w:val="0"/>
        <w:autoSpaceDE w:val="0"/>
        <w:autoSpaceDN w:val="0"/>
        <w:adjustRightInd w:val="0"/>
        <w:spacing w:after="120" w:line="276" w:lineRule="auto"/>
        <w:jc w:val="both"/>
        <w:outlineLvl w:val="0"/>
        <w:rPr>
          <w:rFonts w:cs="Arial"/>
          <w:color w:val="1A1A1A"/>
        </w:rPr>
      </w:pPr>
      <w:proofErr w:type="spellStart"/>
      <w:r w:rsidRPr="00595ED6">
        <w:rPr>
          <w:rFonts w:cs="Arial"/>
          <w:color w:val="1A1A1A"/>
        </w:rPr>
        <w:t>Austria</w:t>
      </w:r>
      <w:proofErr w:type="spellEnd"/>
      <w:r w:rsidRPr="00595ED6">
        <w:rPr>
          <w:rFonts w:cs="Arial"/>
          <w:color w:val="1A1A1A"/>
        </w:rPr>
        <w:t xml:space="preserve">, </w:t>
      </w:r>
      <w:proofErr w:type="spellStart"/>
      <w:r w:rsidRPr="00595ED6">
        <w:rPr>
          <w:rFonts w:cs="Arial"/>
          <w:color w:val="1A1A1A"/>
        </w:rPr>
        <w:t>Australia</w:t>
      </w:r>
      <w:proofErr w:type="spellEnd"/>
      <w:r w:rsidRPr="00595ED6">
        <w:rPr>
          <w:rFonts w:cs="Arial"/>
          <w:color w:val="1A1A1A"/>
        </w:rPr>
        <w:t xml:space="preserve">, Canada, </w:t>
      </w:r>
      <w:proofErr w:type="spellStart"/>
      <w:r w:rsidRPr="00595ED6">
        <w:rPr>
          <w:rFonts w:cs="Arial"/>
          <w:color w:val="1A1A1A"/>
        </w:rPr>
        <w:t>Czech</w:t>
      </w:r>
      <w:proofErr w:type="spellEnd"/>
      <w:r w:rsidRPr="00595ED6">
        <w:rPr>
          <w:rFonts w:cs="Arial"/>
          <w:color w:val="1A1A1A"/>
        </w:rPr>
        <w:t xml:space="preserve"> </w:t>
      </w:r>
      <w:proofErr w:type="spellStart"/>
      <w:r w:rsidRPr="00595ED6">
        <w:rPr>
          <w:rFonts w:cs="Arial"/>
          <w:color w:val="1A1A1A"/>
        </w:rPr>
        <w:t>Republic</w:t>
      </w:r>
      <w:proofErr w:type="spellEnd"/>
      <w:r w:rsidRPr="00595ED6">
        <w:rPr>
          <w:rFonts w:cs="Arial"/>
          <w:color w:val="1A1A1A"/>
        </w:rPr>
        <w:t xml:space="preserve">, </w:t>
      </w:r>
      <w:proofErr w:type="spellStart"/>
      <w:r w:rsidRPr="00595ED6">
        <w:rPr>
          <w:rFonts w:cs="Arial"/>
          <w:color w:val="1A1A1A"/>
        </w:rPr>
        <w:t>Denmark</w:t>
      </w:r>
      <w:proofErr w:type="spellEnd"/>
      <w:r w:rsidRPr="00595ED6">
        <w:rPr>
          <w:rFonts w:cs="Arial"/>
          <w:color w:val="1A1A1A"/>
        </w:rPr>
        <w:t xml:space="preserve">, </w:t>
      </w:r>
      <w:proofErr w:type="spellStart"/>
      <w:r w:rsidRPr="00595ED6">
        <w:rPr>
          <w:rFonts w:cs="Arial"/>
          <w:color w:val="1A1A1A"/>
        </w:rPr>
        <w:t>Estonia</w:t>
      </w:r>
      <w:proofErr w:type="spellEnd"/>
      <w:r w:rsidRPr="00595ED6">
        <w:rPr>
          <w:rFonts w:cs="Arial"/>
          <w:color w:val="1A1A1A"/>
        </w:rPr>
        <w:t xml:space="preserve">, </w:t>
      </w:r>
      <w:proofErr w:type="spellStart"/>
      <w:r w:rsidRPr="00595ED6">
        <w:rPr>
          <w:rFonts w:cs="Arial"/>
          <w:color w:val="1A1A1A"/>
        </w:rPr>
        <w:t>Finland</w:t>
      </w:r>
      <w:proofErr w:type="spellEnd"/>
      <w:r w:rsidRPr="00595ED6">
        <w:rPr>
          <w:rFonts w:cs="Arial"/>
          <w:color w:val="1A1A1A"/>
        </w:rPr>
        <w:t xml:space="preserve">, France, Germany, </w:t>
      </w:r>
      <w:proofErr w:type="spellStart"/>
      <w:r w:rsidRPr="00595ED6">
        <w:rPr>
          <w:rFonts w:cs="Arial"/>
          <w:color w:val="1A1A1A"/>
        </w:rPr>
        <w:t>Greece</w:t>
      </w:r>
      <w:proofErr w:type="spellEnd"/>
      <w:r w:rsidRPr="00595ED6">
        <w:rPr>
          <w:rFonts w:cs="Arial"/>
          <w:color w:val="1A1A1A"/>
        </w:rPr>
        <w:t xml:space="preserve">, </w:t>
      </w:r>
      <w:proofErr w:type="spellStart"/>
      <w:r w:rsidRPr="00595ED6">
        <w:rPr>
          <w:rFonts w:cs="Arial"/>
          <w:color w:val="1A1A1A"/>
        </w:rPr>
        <w:t>Iceland</w:t>
      </w:r>
      <w:proofErr w:type="spellEnd"/>
      <w:r w:rsidRPr="00595ED6">
        <w:rPr>
          <w:rFonts w:cs="Arial"/>
          <w:color w:val="1A1A1A"/>
        </w:rPr>
        <w:t xml:space="preserve">, Ireland, </w:t>
      </w:r>
      <w:proofErr w:type="spellStart"/>
      <w:r w:rsidRPr="00595ED6">
        <w:rPr>
          <w:rFonts w:cs="Arial"/>
          <w:color w:val="1A1A1A"/>
        </w:rPr>
        <w:t>Italy</w:t>
      </w:r>
      <w:proofErr w:type="spellEnd"/>
      <w:r>
        <w:rPr>
          <w:rFonts w:cs="Arial"/>
          <w:color w:val="1A1A1A"/>
        </w:rPr>
        <w:t>,</w:t>
      </w:r>
      <w:r w:rsidRPr="00595ED6">
        <w:rPr>
          <w:rFonts w:cs="Arial"/>
          <w:color w:val="1A1A1A"/>
        </w:rPr>
        <w:t xml:space="preserve"> </w:t>
      </w:r>
      <w:proofErr w:type="spellStart"/>
      <w:r w:rsidRPr="00595ED6">
        <w:rPr>
          <w:rFonts w:cs="Arial"/>
          <w:color w:val="1A1A1A"/>
        </w:rPr>
        <w:t>Netherlands</w:t>
      </w:r>
      <w:proofErr w:type="spellEnd"/>
      <w:r w:rsidRPr="00595ED6">
        <w:rPr>
          <w:rFonts w:cs="Arial"/>
          <w:color w:val="1A1A1A"/>
        </w:rPr>
        <w:t xml:space="preserve">, </w:t>
      </w:r>
      <w:proofErr w:type="spellStart"/>
      <w:r w:rsidRPr="00595ED6">
        <w:rPr>
          <w:rFonts w:cs="Arial"/>
          <w:color w:val="1A1A1A"/>
        </w:rPr>
        <w:t>Norway</w:t>
      </w:r>
      <w:proofErr w:type="spellEnd"/>
      <w:r w:rsidRPr="00595ED6">
        <w:rPr>
          <w:rFonts w:cs="Arial"/>
          <w:color w:val="1A1A1A"/>
        </w:rPr>
        <w:t xml:space="preserve">, </w:t>
      </w:r>
      <w:proofErr w:type="spellStart"/>
      <w:r w:rsidRPr="00595ED6">
        <w:rPr>
          <w:rFonts w:cs="Arial"/>
          <w:color w:val="1A1A1A"/>
        </w:rPr>
        <w:t>Poland</w:t>
      </w:r>
      <w:proofErr w:type="spellEnd"/>
      <w:r w:rsidRPr="00595ED6">
        <w:rPr>
          <w:rFonts w:cs="Arial"/>
          <w:color w:val="1A1A1A"/>
        </w:rPr>
        <w:t xml:space="preserve">, </w:t>
      </w:r>
      <w:proofErr w:type="spellStart"/>
      <w:r w:rsidRPr="00595ED6">
        <w:rPr>
          <w:rFonts w:cs="Arial"/>
          <w:color w:val="1A1A1A"/>
        </w:rPr>
        <w:t>Slovak</w:t>
      </w:r>
      <w:proofErr w:type="spellEnd"/>
      <w:r w:rsidRPr="00595ED6">
        <w:rPr>
          <w:rFonts w:cs="Arial"/>
          <w:color w:val="1A1A1A"/>
        </w:rPr>
        <w:t xml:space="preserve"> </w:t>
      </w:r>
      <w:proofErr w:type="spellStart"/>
      <w:r w:rsidRPr="00595ED6">
        <w:rPr>
          <w:rFonts w:cs="Arial"/>
          <w:color w:val="1A1A1A"/>
        </w:rPr>
        <w:t>Republic</w:t>
      </w:r>
      <w:proofErr w:type="spellEnd"/>
      <w:r w:rsidRPr="00595ED6">
        <w:rPr>
          <w:rFonts w:cs="Arial"/>
          <w:color w:val="1A1A1A"/>
        </w:rPr>
        <w:t xml:space="preserve">, Spain, </w:t>
      </w:r>
      <w:proofErr w:type="spellStart"/>
      <w:r w:rsidRPr="00595ED6">
        <w:rPr>
          <w:rFonts w:cs="Arial"/>
          <w:color w:val="1A1A1A"/>
        </w:rPr>
        <w:t>Sweden</w:t>
      </w:r>
      <w:proofErr w:type="spellEnd"/>
      <w:r w:rsidRPr="00595ED6">
        <w:rPr>
          <w:rFonts w:cs="Arial"/>
          <w:color w:val="1A1A1A"/>
        </w:rPr>
        <w:t>,</w:t>
      </w:r>
      <w:r>
        <w:rPr>
          <w:rFonts w:cs="Arial"/>
          <w:color w:val="1A1A1A"/>
        </w:rPr>
        <w:t xml:space="preserve"> </w:t>
      </w:r>
      <w:proofErr w:type="spellStart"/>
      <w:r w:rsidRPr="00595ED6">
        <w:rPr>
          <w:rFonts w:cs="Arial"/>
          <w:color w:val="1A1A1A"/>
        </w:rPr>
        <w:t>Switzerland</w:t>
      </w:r>
      <w:proofErr w:type="spellEnd"/>
      <w:r w:rsidRPr="00595ED6">
        <w:rPr>
          <w:rFonts w:cs="Arial"/>
          <w:color w:val="1A1A1A"/>
        </w:rPr>
        <w:t>,</w:t>
      </w:r>
      <w:r>
        <w:rPr>
          <w:rFonts w:cs="Arial"/>
          <w:color w:val="1A1A1A"/>
        </w:rPr>
        <w:t xml:space="preserve"> </w:t>
      </w:r>
      <w:r w:rsidRPr="00595ED6">
        <w:rPr>
          <w:rFonts w:cs="Arial"/>
          <w:color w:val="1A1A1A"/>
        </w:rPr>
        <w:t xml:space="preserve">United </w:t>
      </w:r>
      <w:proofErr w:type="spellStart"/>
      <w:r w:rsidRPr="00595ED6">
        <w:rPr>
          <w:rFonts w:cs="Arial"/>
          <w:color w:val="1A1A1A"/>
        </w:rPr>
        <w:t>Kingdom</w:t>
      </w:r>
      <w:proofErr w:type="spellEnd"/>
      <w:r w:rsidRPr="00595ED6">
        <w:rPr>
          <w:rFonts w:cs="Arial"/>
          <w:color w:val="1A1A1A"/>
        </w:rPr>
        <w:t>, United States</w:t>
      </w:r>
    </w:p>
    <w:p w14:paraId="67025331" w14:textId="1ADB3462" w:rsidR="00595ED6" w:rsidRPr="007639AE" w:rsidRDefault="0028279B" w:rsidP="00595ED6">
      <w:pPr>
        <w:widowControl w:val="0"/>
        <w:autoSpaceDE w:val="0"/>
        <w:autoSpaceDN w:val="0"/>
        <w:adjustRightInd w:val="0"/>
        <w:spacing w:after="120" w:line="276" w:lineRule="auto"/>
        <w:jc w:val="both"/>
        <w:outlineLvl w:val="0"/>
        <w:rPr>
          <w:rFonts w:cs="Arial"/>
          <w:color w:val="1A1A1A"/>
          <w:u w:val="single"/>
        </w:rPr>
      </w:pPr>
      <w:proofErr w:type="spellStart"/>
      <w:r w:rsidRPr="007639AE">
        <w:rPr>
          <w:rFonts w:cs="Arial"/>
          <w:color w:val="1A1A1A"/>
          <w:u w:val="single"/>
        </w:rPr>
        <w:t>Japan</w:t>
      </w:r>
      <w:proofErr w:type="spellEnd"/>
      <w:r w:rsidRPr="007639AE">
        <w:rPr>
          <w:rFonts w:cs="Arial"/>
          <w:color w:val="1A1A1A"/>
          <w:u w:val="single"/>
        </w:rPr>
        <w:t xml:space="preserve"> and South </w:t>
      </w:r>
      <w:proofErr w:type="spellStart"/>
      <w:r w:rsidRPr="007639AE">
        <w:rPr>
          <w:rFonts w:cs="Arial"/>
          <w:color w:val="1A1A1A"/>
          <w:u w:val="single"/>
        </w:rPr>
        <w:t>Korea</w:t>
      </w:r>
      <w:proofErr w:type="spellEnd"/>
      <w:r w:rsidRPr="007639AE">
        <w:rPr>
          <w:rFonts w:cs="Arial"/>
          <w:color w:val="1A1A1A"/>
          <w:u w:val="single"/>
        </w:rPr>
        <w:t xml:space="preserve"> </w:t>
      </w:r>
      <w:proofErr w:type="spellStart"/>
      <w:r w:rsidRPr="007639AE">
        <w:rPr>
          <w:rFonts w:cs="Arial"/>
          <w:color w:val="1A1A1A"/>
          <w:u w:val="single"/>
        </w:rPr>
        <w:t>excluded</w:t>
      </w:r>
      <w:proofErr w:type="spellEnd"/>
      <w:r w:rsidRPr="007639AE">
        <w:rPr>
          <w:rFonts w:cs="Arial"/>
          <w:color w:val="1A1A1A"/>
          <w:u w:val="single"/>
        </w:rPr>
        <w:t xml:space="preserve"> (</w:t>
      </w:r>
      <w:proofErr w:type="spellStart"/>
      <w:r w:rsidRPr="007639AE">
        <w:rPr>
          <w:rFonts w:cs="Arial"/>
          <w:color w:val="1A1A1A"/>
          <w:u w:val="single"/>
        </w:rPr>
        <w:t>low</w:t>
      </w:r>
      <w:proofErr w:type="spellEnd"/>
      <w:r w:rsidRPr="007639AE">
        <w:rPr>
          <w:rFonts w:cs="Arial"/>
          <w:color w:val="1A1A1A"/>
          <w:u w:val="single"/>
        </w:rPr>
        <w:t xml:space="preserve"> </w:t>
      </w:r>
      <w:proofErr w:type="spellStart"/>
      <w:r>
        <w:rPr>
          <w:rFonts w:cs="Arial"/>
          <w:color w:val="1A1A1A"/>
          <w:u w:val="single"/>
        </w:rPr>
        <w:t>quality</w:t>
      </w:r>
      <w:proofErr w:type="spellEnd"/>
      <w:r>
        <w:rPr>
          <w:rFonts w:cs="Arial"/>
          <w:color w:val="1A1A1A"/>
          <w:u w:val="single"/>
        </w:rPr>
        <w:t xml:space="preserve"> </w:t>
      </w:r>
      <w:proofErr w:type="spellStart"/>
      <w:r>
        <w:rPr>
          <w:rFonts w:cs="Arial"/>
          <w:color w:val="1A1A1A"/>
          <w:u w:val="single"/>
        </w:rPr>
        <w:t>checks</w:t>
      </w:r>
      <w:proofErr w:type="spellEnd"/>
      <w:r>
        <w:rPr>
          <w:rFonts w:cs="Arial"/>
          <w:color w:val="1A1A1A"/>
          <w:u w:val="single"/>
        </w:rPr>
        <w:t xml:space="preserve">) + </w:t>
      </w:r>
      <w:proofErr w:type="spellStart"/>
      <w:r w:rsidR="00595ED6" w:rsidRPr="007639AE">
        <w:rPr>
          <w:rFonts w:cs="Arial"/>
          <w:color w:val="1A1A1A"/>
          <w:u w:val="single"/>
        </w:rPr>
        <w:t>Israel</w:t>
      </w:r>
      <w:proofErr w:type="spellEnd"/>
      <w:r w:rsidR="00595ED6" w:rsidRPr="007639AE">
        <w:rPr>
          <w:rFonts w:cs="Arial"/>
          <w:color w:val="1A1A1A"/>
          <w:u w:val="single"/>
        </w:rPr>
        <w:t xml:space="preserve"> and Luxembourg </w:t>
      </w:r>
      <w:proofErr w:type="spellStart"/>
      <w:r w:rsidR="00595ED6" w:rsidRPr="007639AE">
        <w:rPr>
          <w:rFonts w:cs="Arial"/>
          <w:color w:val="1A1A1A"/>
          <w:u w:val="single"/>
        </w:rPr>
        <w:t>excluded</w:t>
      </w:r>
      <w:proofErr w:type="spellEnd"/>
      <w:r w:rsidR="00595ED6" w:rsidRPr="007639AE">
        <w:rPr>
          <w:rFonts w:cs="Arial"/>
          <w:color w:val="1A1A1A"/>
          <w:u w:val="single"/>
        </w:rPr>
        <w:t xml:space="preserve"> (no OECD data on </w:t>
      </w:r>
      <w:proofErr w:type="spellStart"/>
      <w:r w:rsidR="00595ED6" w:rsidRPr="007639AE">
        <w:rPr>
          <w:rFonts w:cs="Arial"/>
          <w:color w:val="1A1A1A"/>
          <w:u w:val="single"/>
        </w:rPr>
        <w:t>average</w:t>
      </w:r>
      <w:proofErr w:type="spellEnd"/>
      <w:r w:rsidR="00595ED6" w:rsidRPr="007639AE">
        <w:rPr>
          <w:rFonts w:cs="Arial"/>
          <w:color w:val="1A1A1A"/>
          <w:u w:val="single"/>
        </w:rPr>
        <w:t xml:space="preserve"> </w:t>
      </w:r>
      <w:proofErr w:type="spellStart"/>
      <w:r w:rsidR="00595ED6" w:rsidRPr="007639AE">
        <w:rPr>
          <w:rFonts w:cs="Arial"/>
          <w:color w:val="1A1A1A"/>
          <w:u w:val="single"/>
        </w:rPr>
        <w:t>propensity</w:t>
      </w:r>
      <w:proofErr w:type="spellEnd"/>
      <w:r w:rsidR="00595ED6" w:rsidRPr="007639AE">
        <w:rPr>
          <w:rFonts w:cs="Arial"/>
          <w:color w:val="1A1A1A"/>
          <w:u w:val="single"/>
        </w:rPr>
        <w:t xml:space="preserve"> to consume).</w:t>
      </w:r>
    </w:p>
    <w:p w14:paraId="0BCA920B" w14:textId="755159E1" w:rsidR="00595ED6" w:rsidRPr="00595ED6" w:rsidRDefault="00595ED6" w:rsidP="00595ED6">
      <w:pPr>
        <w:widowControl w:val="0"/>
        <w:autoSpaceDE w:val="0"/>
        <w:autoSpaceDN w:val="0"/>
        <w:adjustRightInd w:val="0"/>
        <w:spacing w:after="120" w:line="276" w:lineRule="auto"/>
        <w:jc w:val="both"/>
        <w:outlineLvl w:val="0"/>
        <w:rPr>
          <w:rFonts w:cs="Arial"/>
          <w:b/>
          <w:color w:val="1A1A1A"/>
        </w:rPr>
      </w:pPr>
    </w:p>
    <w:p w14:paraId="38A50F34" w14:textId="77777777" w:rsidR="00C810E5" w:rsidRDefault="00C810E5" w:rsidP="002B01DA">
      <w:pPr>
        <w:widowControl w:val="0"/>
        <w:autoSpaceDE w:val="0"/>
        <w:autoSpaceDN w:val="0"/>
        <w:adjustRightInd w:val="0"/>
        <w:spacing w:after="120" w:line="276" w:lineRule="auto"/>
        <w:jc w:val="both"/>
        <w:outlineLvl w:val="0"/>
        <w:rPr>
          <w:rFonts w:cs="Arial"/>
          <w:b/>
          <w:color w:val="1A1A1A"/>
        </w:rPr>
      </w:pPr>
    </w:p>
    <w:p w14:paraId="1A4F4988" w14:textId="64089766" w:rsidR="003D4163" w:rsidRPr="00CD6A97" w:rsidRDefault="00E255C1" w:rsidP="002B01DA">
      <w:pPr>
        <w:widowControl w:val="0"/>
        <w:autoSpaceDE w:val="0"/>
        <w:autoSpaceDN w:val="0"/>
        <w:adjustRightInd w:val="0"/>
        <w:spacing w:after="120" w:line="276" w:lineRule="auto"/>
        <w:jc w:val="both"/>
        <w:outlineLvl w:val="0"/>
        <w:rPr>
          <w:rFonts w:cs="Arial"/>
          <w:b/>
          <w:color w:val="1A1A1A"/>
        </w:rPr>
      </w:pPr>
      <w:r w:rsidRPr="00CD6A97">
        <w:rPr>
          <w:rFonts w:cs="Arial"/>
          <w:b/>
          <w:color w:val="1A1A1A"/>
        </w:rPr>
        <w:t>Ca</w:t>
      </w:r>
      <w:r w:rsidR="00557020" w:rsidRPr="00CD6A97">
        <w:rPr>
          <w:rFonts w:cs="Arial"/>
          <w:b/>
          <w:color w:val="1A1A1A"/>
        </w:rPr>
        <w:t>l</w:t>
      </w:r>
      <w:r w:rsidRPr="00CD6A97">
        <w:rPr>
          <w:rFonts w:cs="Arial"/>
          <w:b/>
          <w:color w:val="1A1A1A"/>
        </w:rPr>
        <w:t xml:space="preserve">cul des </w:t>
      </w:r>
      <w:r w:rsidR="003D4163" w:rsidRPr="00CD6A97">
        <w:rPr>
          <w:rFonts w:cs="Arial"/>
          <w:b/>
          <w:color w:val="1A1A1A"/>
        </w:rPr>
        <w:t>taux implicites de tva (itrc_2)</w:t>
      </w:r>
    </w:p>
    <w:p w14:paraId="69874AC9" w14:textId="77777777" w:rsidR="00247ED3" w:rsidRPr="00CD6A97" w:rsidRDefault="00247ED3" w:rsidP="00B9039B">
      <w:pPr>
        <w:widowControl w:val="0"/>
        <w:autoSpaceDE w:val="0"/>
        <w:autoSpaceDN w:val="0"/>
        <w:adjustRightInd w:val="0"/>
        <w:spacing w:after="120" w:line="276" w:lineRule="auto"/>
        <w:jc w:val="both"/>
      </w:pPr>
    </w:p>
    <w:p w14:paraId="09482C0F" w14:textId="39FD2180" w:rsidR="005722F3" w:rsidRPr="00CD6A97" w:rsidRDefault="00327D84" w:rsidP="00B9039B">
      <w:pPr>
        <w:widowControl w:val="0"/>
        <w:autoSpaceDE w:val="0"/>
        <w:autoSpaceDN w:val="0"/>
        <w:adjustRightInd w:val="0"/>
        <w:spacing w:after="120" w:line="276" w:lineRule="auto"/>
        <w:jc w:val="both"/>
      </w:pPr>
      <w:r w:rsidRPr="00CD6A97">
        <w:t xml:space="preserve">La littérature économique présente trois méthodologies pour calculer le taux implicite de taxes à la consommation (Eurostat, Mendoza et al. 1994, Carey et </w:t>
      </w:r>
      <w:proofErr w:type="spellStart"/>
      <w:r w:rsidRPr="00CD6A97">
        <w:t>Tchilinguirian</w:t>
      </w:r>
      <w:proofErr w:type="spellEnd"/>
      <w:r w:rsidRPr="00CD6A97">
        <w:t xml:space="preserve"> 2000). La formule que nous avons adoptée dans la présente étude est une formule hybride qui suit les recommandations de Carey et </w:t>
      </w:r>
      <w:proofErr w:type="spellStart"/>
      <w:r w:rsidRPr="00CD6A97">
        <w:t>Tchilinguirian</w:t>
      </w:r>
      <w:proofErr w:type="spellEnd"/>
      <w:r w:rsidRPr="00CD6A97">
        <w:t xml:space="preserve"> (2000) pour le numérateur (taxes prises en compte) sur lesquelles il existe un relatif consensus dans la littérature, et celles de Mendoza et al. (1994) pour le dénominateur (base fiscale). Les motivations de notre choix (notamment pour le choix de la base fiscale) sont expliquées ci-dessous.</w:t>
      </w:r>
    </w:p>
    <w:p w14:paraId="7BE36225" w14:textId="77777777" w:rsidR="003D4163" w:rsidRPr="00CD6A97" w:rsidRDefault="003D4163" w:rsidP="00B9039B">
      <w:pPr>
        <w:widowControl w:val="0"/>
        <w:autoSpaceDE w:val="0"/>
        <w:autoSpaceDN w:val="0"/>
        <w:adjustRightInd w:val="0"/>
        <w:spacing w:after="120" w:line="276" w:lineRule="auto"/>
        <w:jc w:val="both"/>
      </w:pPr>
    </w:p>
    <w:p w14:paraId="57B21FF4" w14:textId="3645D43E" w:rsidR="003D4163" w:rsidRPr="00CD6A97" w:rsidRDefault="007713B7" w:rsidP="002B01DA">
      <w:pPr>
        <w:spacing w:after="120" w:line="276" w:lineRule="auto"/>
        <w:jc w:val="both"/>
        <w:outlineLvl w:val="0"/>
        <w:rPr>
          <w:i/>
          <w:iCs/>
          <w:u w:val="single"/>
        </w:rPr>
      </w:pPr>
      <w:r w:rsidRPr="00CD6A97">
        <w:rPr>
          <w:i/>
          <w:iCs/>
          <w:u w:val="single"/>
        </w:rPr>
        <w:t>Méthodologies</w:t>
      </w:r>
      <w:r w:rsidR="00327D84" w:rsidRPr="00CD6A97">
        <w:rPr>
          <w:i/>
          <w:iCs/>
          <w:u w:val="single"/>
        </w:rPr>
        <w:t xml:space="preserve"> issues de la littérature :</w:t>
      </w:r>
    </w:p>
    <w:p w14:paraId="407DF6B7" w14:textId="77777777" w:rsidR="001B5361" w:rsidRPr="00CD6A97" w:rsidRDefault="003D4163" w:rsidP="002B01DA">
      <w:pPr>
        <w:spacing w:after="120" w:line="276" w:lineRule="auto"/>
        <w:jc w:val="both"/>
        <w:outlineLvl w:val="0"/>
      </w:pPr>
      <w:r w:rsidRPr="00CD6A97">
        <w:t>Eu</w:t>
      </w:r>
      <w:r w:rsidR="00327D84" w:rsidRPr="00CD6A97">
        <w:t>rostat</w:t>
      </w:r>
    </w:p>
    <w:p w14:paraId="305D8CA7" w14:textId="55CFE234" w:rsidR="001B5361" w:rsidRPr="00CD6A97" w:rsidRDefault="001B5361" w:rsidP="00B9039B">
      <w:pPr>
        <w:pStyle w:val="Pardeliste"/>
        <w:numPr>
          <w:ilvl w:val="0"/>
          <w:numId w:val="5"/>
        </w:numPr>
        <w:spacing w:after="120" w:line="276" w:lineRule="auto"/>
        <w:jc w:val="both"/>
      </w:pPr>
      <w:r w:rsidRPr="00CD6A97">
        <w:t xml:space="preserve">Recettes fiscales : </w:t>
      </w:r>
      <w:r w:rsidR="00CA50E9" w:rsidRPr="00CD6A97">
        <w:t>définition étendue</w:t>
      </w:r>
      <w:r w:rsidR="007713B7" w:rsidRPr="00CD6A97">
        <w:t xml:space="preserve"> (voir tableau)</w:t>
      </w:r>
    </w:p>
    <w:p w14:paraId="0392DF9B" w14:textId="40D680CE" w:rsidR="003D4163" w:rsidRPr="00CD6A97" w:rsidRDefault="001B5361" w:rsidP="00B9039B">
      <w:pPr>
        <w:pStyle w:val="Pardeliste"/>
        <w:numPr>
          <w:ilvl w:val="0"/>
          <w:numId w:val="5"/>
        </w:numPr>
        <w:spacing w:after="120" w:line="276" w:lineRule="auto"/>
        <w:jc w:val="both"/>
      </w:pPr>
      <w:r w:rsidRPr="00CD6A97">
        <w:t>B</w:t>
      </w:r>
      <w:r w:rsidR="00327D84" w:rsidRPr="00CD6A97">
        <w:t>ase fiscale : consommation privée des ménages</w:t>
      </w:r>
    </w:p>
    <w:p w14:paraId="11054701" w14:textId="2DD4F12E" w:rsidR="003D4163" w:rsidRPr="00CD6A97" w:rsidRDefault="00327D84" w:rsidP="00B9039B">
      <w:pPr>
        <w:spacing w:after="120" w:line="276" w:lineRule="auto"/>
        <w:jc w:val="both"/>
        <w:rPr>
          <w:i/>
          <w:iCs/>
        </w:rPr>
      </w:pPr>
      <w:r w:rsidRPr="00CD6A97">
        <w:rPr>
          <w:i/>
          <w:iCs/>
        </w:rPr>
        <w:t xml:space="preserve">Taux implicite </w:t>
      </w:r>
      <w:r w:rsidR="003D4163" w:rsidRPr="00CD6A97">
        <w:rPr>
          <w:i/>
          <w:iCs/>
        </w:rPr>
        <w:t>=</w:t>
      </w:r>
      <w:r w:rsidRPr="00CD6A97">
        <w:rPr>
          <w:i/>
          <w:iCs/>
        </w:rPr>
        <w:t xml:space="preserve"> </w:t>
      </w:r>
      <w:r w:rsidR="003D4163" w:rsidRPr="00CD6A97">
        <w:rPr>
          <w:i/>
          <w:iCs/>
        </w:rPr>
        <w:t>(5110</w:t>
      </w:r>
      <w:r w:rsidRPr="00CD6A97">
        <w:rPr>
          <w:i/>
          <w:iCs/>
        </w:rPr>
        <w:t xml:space="preserve"> </w:t>
      </w:r>
      <w:r w:rsidR="003D4163" w:rsidRPr="00CD6A97">
        <w:rPr>
          <w:i/>
          <w:iCs/>
        </w:rPr>
        <w:t>+</w:t>
      </w:r>
      <w:r w:rsidRPr="00CD6A97">
        <w:rPr>
          <w:i/>
          <w:iCs/>
        </w:rPr>
        <w:t xml:space="preserve"> </w:t>
      </w:r>
      <w:r w:rsidR="003D4163" w:rsidRPr="00CD6A97">
        <w:rPr>
          <w:i/>
          <w:iCs/>
        </w:rPr>
        <w:t>5121</w:t>
      </w:r>
      <w:r w:rsidRPr="00CD6A97">
        <w:rPr>
          <w:i/>
          <w:iCs/>
        </w:rPr>
        <w:t xml:space="preserve"> </w:t>
      </w:r>
      <w:r w:rsidR="003D4163" w:rsidRPr="00CD6A97">
        <w:rPr>
          <w:i/>
          <w:iCs/>
        </w:rPr>
        <w:t>+</w:t>
      </w:r>
      <w:r w:rsidRPr="00CD6A97">
        <w:rPr>
          <w:i/>
          <w:iCs/>
        </w:rPr>
        <w:t xml:space="preserve"> </w:t>
      </w:r>
      <w:r w:rsidR="003D4163" w:rsidRPr="00CD6A97">
        <w:rPr>
          <w:i/>
          <w:iCs/>
        </w:rPr>
        <w:t>5122</w:t>
      </w:r>
      <w:r w:rsidRPr="00CD6A97">
        <w:rPr>
          <w:i/>
          <w:iCs/>
        </w:rPr>
        <w:t xml:space="preserve"> </w:t>
      </w:r>
      <w:r w:rsidR="003D4163" w:rsidRPr="00CD6A97">
        <w:rPr>
          <w:i/>
          <w:iCs/>
        </w:rPr>
        <w:t>+</w:t>
      </w:r>
      <w:r w:rsidRPr="00CD6A97">
        <w:rPr>
          <w:i/>
          <w:iCs/>
        </w:rPr>
        <w:t xml:space="preserve"> </w:t>
      </w:r>
      <w:r w:rsidR="003D4163" w:rsidRPr="00CD6A97">
        <w:rPr>
          <w:i/>
          <w:iCs/>
        </w:rPr>
        <w:t>5123</w:t>
      </w:r>
      <w:r w:rsidRPr="00CD6A97">
        <w:rPr>
          <w:i/>
          <w:iCs/>
        </w:rPr>
        <w:t xml:space="preserve"> </w:t>
      </w:r>
      <w:r w:rsidR="003D4163" w:rsidRPr="00CD6A97">
        <w:rPr>
          <w:i/>
          <w:iCs/>
        </w:rPr>
        <w:t>+</w:t>
      </w:r>
      <w:r w:rsidRPr="00CD6A97">
        <w:rPr>
          <w:i/>
          <w:iCs/>
        </w:rPr>
        <w:t xml:space="preserve"> </w:t>
      </w:r>
      <w:r w:rsidR="003D4163" w:rsidRPr="00CD6A97">
        <w:rPr>
          <w:i/>
          <w:iCs/>
        </w:rPr>
        <w:t>5126</w:t>
      </w:r>
      <w:r w:rsidRPr="00CD6A97">
        <w:rPr>
          <w:i/>
          <w:iCs/>
        </w:rPr>
        <w:t xml:space="preserve"> </w:t>
      </w:r>
      <w:r w:rsidR="003D4163" w:rsidRPr="00CD6A97">
        <w:rPr>
          <w:i/>
          <w:iCs/>
        </w:rPr>
        <w:t>+</w:t>
      </w:r>
      <w:r w:rsidRPr="00CD6A97">
        <w:rPr>
          <w:i/>
          <w:iCs/>
        </w:rPr>
        <w:t xml:space="preserve"> </w:t>
      </w:r>
      <w:r w:rsidR="003D4163" w:rsidRPr="00CD6A97">
        <w:rPr>
          <w:i/>
          <w:iCs/>
        </w:rPr>
        <w:t>5128</w:t>
      </w:r>
      <w:r w:rsidRPr="00CD6A97">
        <w:rPr>
          <w:i/>
          <w:iCs/>
        </w:rPr>
        <w:t xml:space="preserve"> </w:t>
      </w:r>
      <w:r w:rsidR="003D4163" w:rsidRPr="00CD6A97">
        <w:rPr>
          <w:i/>
          <w:iCs/>
        </w:rPr>
        <w:t>+</w:t>
      </w:r>
      <w:r w:rsidRPr="00CD6A97">
        <w:rPr>
          <w:i/>
          <w:iCs/>
        </w:rPr>
        <w:t xml:space="preserve"> </w:t>
      </w:r>
      <w:r w:rsidR="003D4163" w:rsidRPr="00CD6A97">
        <w:rPr>
          <w:i/>
          <w:iCs/>
        </w:rPr>
        <w:t>5200)</w:t>
      </w:r>
      <w:r w:rsidRPr="00CD6A97">
        <w:rPr>
          <w:i/>
          <w:iCs/>
        </w:rPr>
        <w:t xml:space="preserve"> </w:t>
      </w:r>
      <w:r w:rsidR="003D4163" w:rsidRPr="00CD6A97">
        <w:rPr>
          <w:i/>
          <w:iCs/>
        </w:rPr>
        <w:t>/</w:t>
      </w:r>
      <w:r w:rsidRPr="00CD6A97">
        <w:rPr>
          <w:i/>
          <w:iCs/>
        </w:rPr>
        <w:t xml:space="preserve"> </w:t>
      </w:r>
      <w:r w:rsidR="003D4163" w:rsidRPr="00CD6A97">
        <w:rPr>
          <w:i/>
          <w:iCs/>
        </w:rPr>
        <w:t>(CP)</w:t>
      </w:r>
    </w:p>
    <w:p w14:paraId="01B96B61" w14:textId="77777777" w:rsidR="001B5361" w:rsidRPr="00CD6A97" w:rsidRDefault="003D4163" w:rsidP="00B9039B">
      <w:pPr>
        <w:spacing w:after="120" w:line="276" w:lineRule="auto"/>
        <w:jc w:val="both"/>
      </w:pPr>
      <w:r w:rsidRPr="00CD6A97">
        <w:t xml:space="preserve">Mendoza et al. </w:t>
      </w:r>
      <w:r w:rsidR="00327D84" w:rsidRPr="00CD6A97">
        <w:t>(</w:t>
      </w:r>
      <w:r w:rsidR="001B5361" w:rsidRPr="00CD6A97">
        <w:t>1994)</w:t>
      </w:r>
    </w:p>
    <w:p w14:paraId="457C27E9" w14:textId="7D471755" w:rsidR="001B5361" w:rsidRPr="00CD6A97" w:rsidRDefault="001B5361" w:rsidP="00B9039B">
      <w:pPr>
        <w:pStyle w:val="Pardeliste"/>
        <w:numPr>
          <w:ilvl w:val="0"/>
          <w:numId w:val="4"/>
        </w:numPr>
        <w:spacing w:after="120" w:line="276" w:lineRule="auto"/>
        <w:jc w:val="both"/>
      </w:pPr>
      <w:r w:rsidRPr="00CD6A97">
        <w:t xml:space="preserve">Recettes fiscales : </w:t>
      </w:r>
      <w:r w:rsidR="00CA50E9" w:rsidRPr="00CD6A97">
        <w:t>définition stricte</w:t>
      </w:r>
      <w:r w:rsidR="00061D00" w:rsidRPr="00CD6A97">
        <w:t xml:space="preserve"> (voir tableau) </w:t>
      </w:r>
    </w:p>
    <w:p w14:paraId="18729EA2" w14:textId="25763969" w:rsidR="003D4163" w:rsidRPr="00CD6A97" w:rsidRDefault="001B5361" w:rsidP="00B9039B">
      <w:pPr>
        <w:pStyle w:val="Pardeliste"/>
        <w:numPr>
          <w:ilvl w:val="0"/>
          <w:numId w:val="4"/>
        </w:numPr>
        <w:spacing w:after="120" w:line="276" w:lineRule="auto"/>
        <w:jc w:val="both"/>
      </w:pPr>
      <w:r w:rsidRPr="00CD6A97">
        <w:lastRenderedPageBreak/>
        <w:t>B</w:t>
      </w:r>
      <w:r w:rsidR="00327D84" w:rsidRPr="00CD6A97">
        <w:t>ase fiscale : consommation privée des ménages + consommation publique – traitements versés par l’Etat, calc</w:t>
      </w:r>
      <w:r w:rsidRPr="00CD6A97">
        <w:t>ulée en termes nets (excluant les montants correspondant à la taxation</w:t>
      </w:r>
      <w:r w:rsidR="00327D84" w:rsidRPr="00CD6A97">
        <w:t xml:space="preserve"> indirecte)</w:t>
      </w:r>
    </w:p>
    <w:p w14:paraId="3707C285" w14:textId="0C2EDAB4" w:rsidR="003D4163" w:rsidRPr="00CD6A97" w:rsidRDefault="00327D84" w:rsidP="00B9039B">
      <w:pPr>
        <w:spacing w:after="120" w:line="276" w:lineRule="auto"/>
        <w:jc w:val="both"/>
        <w:rPr>
          <w:i/>
          <w:iCs/>
        </w:rPr>
      </w:pPr>
      <w:r w:rsidRPr="00CD6A97">
        <w:rPr>
          <w:i/>
          <w:iCs/>
        </w:rPr>
        <w:t xml:space="preserve">Taux implicite </w:t>
      </w:r>
      <w:r w:rsidR="003D4163" w:rsidRPr="00CD6A97">
        <w:rPr>
          <w:i/>
          <w:iCs/>
        </w:rPr>
        <w:t>=</w:t>
      </w:r>
      <w:r w:rsidRPr="00CD6A97">
        <w:rPr>
          <w:i/>
          <w:iCs/>
        </w:rPr>
        <w:t xml:space="preserve"> </w:t>
      </w:r>
      <w:r w:rsidR="003D4163" w:rsidRPr="00CD6A97">
        <w:rPr>
          <w:i/>
          <w:iCs/>
        </w:rPr>
        <w:t>(5110</w:t>
      </w:r>
      <w:r w:rsidRPr="00CD6A97">
        <w:rPr>
          <w:i/>
          <w:iCs/>
        </w:rPr>
        <w:t xml:space="preserve"> </w:t>
      </w:r>
      <w:r w:rsidR="003D4163" w:rsidRPr="00CD6A97">
        <w:rPr>
          <w:i/>
          <w:iCs/>
        </w:rPr>
        <w:t>+</w:t>
      </w:r>
      <w:r w:rsidRPr="00CD6A97">
        <w:rPr>
          <w:i/>
          <w:iCs/>
        </w:rPr>
        <w:t xml:space="preserve"> </w:t>
      </w:r>
      <w:r w:rsidR="003D4163" w:rsidRPr="00CD6A97">
        <w:rPr>
          <w:i/>
          <w:iCs/>
        </w:rPr>
        <w:t>5121)</w:t>
      </w:r>
      <w:r w:rsidRPr="00CD6A97">
        <w:rPr>
          <w:i/>
          <w:iCs/>
        </w:rPr>
        <w:t xml:space="preserve"> </w:t>
      </w:r>
      <w:r w:rsidR="003D4163" w:rsidRPr="00CD6A97">
        <w:rPr>
          <w:i/>
          <w:iCs/>
        </w:rPr>
        <w:t>/</w:t>
      </w:r>
      <w:r w:rsidRPr="00CD6A97">
        <w:rPr>
          <w:i/>
          <w:iCs/>
        </w:rPr>
        <w:t xml:space="preserve"> </w:t>
      </w:r>
      <w:r w:rsidR="003D4163" w:rsidRPr="00CD6A97">
        <w:rPr>
          <w:i/>
          <w:iCs/>
        </w:rPr>
        <w:t>(CP</w:t>
      </w:r>
      <w:r w:rsidRPr="00CD6A97">
        <w:rPr>
          <w:i/>
          <w:iCs/>
        </w:rPr>
        <w:t xml:space="preserve"> </w:t>
      </w:r>
      <w:r w:rsidR="003D4163" w:rsidRPr="00CD6A97">
        <w:rPr>
          <w:i/>
          <w:iCs/>
        </w:rPr>
        <w:t>+</w:t>
      </w:r>
      <w:r w:rsidRPr="00CD6A97">
        <w:rPr>
          <w:i/>
          <w:iCs/>
        </w:rPr>
        <w:t xml:space="preserve"> </w:t>
      </w:r>
      <w:r w:rsidR="003D4163" w:rsidRPr="00CD6A97">
        <w:rPr>
          <w:i/>
          <w:iCs/>
        </w:rPr>
        <w:t>CG</w:t>
      </w:r>
      <w:r w:rsidRPr="00CD6A97">
        <w:rPr>
          <w:i/>
          <w:iCs/>
        </w:rPr>
        <w:t xml:space="preserve"> – </w:t>
      </w:r>
      <w:r w:rsidR="003D4163" w:rsidRPr="00CD6A97">
        <w:rPr>
          <w:i/>
          <w:iCs/>
        </w:rPr>
        <w:t>CGW</w:t>
      </w:r>
      <w:r w:rsidRPr="00CD6A97">
        <w:rPr>
          <w:i/>
          <w:iCs/>
        </w:rPr>
        <w:t xml:space="preserve"> – </w:t>
      </w:r>
      <w:r w:rsidR="003D4163" w:rsidRPr="00CD6A97">
        <w:rPr>
          <w:i/>
          <w:iCs/>
        </w:rPr>
        <w:t>5110</w:t>
      </w:r>
      <w:r w:rsidRPr="00CD6A97">
        <w:rPr>
          <w:i/>
          <w:iCs/>
        </w:rPr>
        <w:t xml:space="preserve"> </w:t>
      </w:r>
      <w:r w:rsidR="00CA50E9" w:rsidRPr="00CD6A97">
        <w:rPr>
          <w:i/>
          <w:iCs/>
        </w:rPr>
        <w:t>–</w:t>
      </w:r>
      <w:r w:rsidRPr="00CD6A97">
        <w:rPr>
          <w:i/>
          <w:iCs/>
        </w:rPr>
        <w:t xml:space="preserve"> </w:t>
      </w:r>
      <w:r w:rsidR="003D4163" w:rsidRPr="00CD6A97">
        <w:rPr>
          <w:i/>
          <w:iCs/>
        </w:rPr>
        <w:t>5121)</w:t>
      </w:r>
    </w:p>
    <w:p w14:paraId="7DF95BF3" w14:textId="77777777" w:rsidR="001B5361" w:rsidRPr="00CD6A97" w:rsidRDefault="003D4163" w:rsidP="00B9039B">
      <w:pPr>
        <w:spacing w:after="120" w:line="276" w:lineRule="auto"/>
        <w:jc w:val="both"/>
      </w:pPr>
      <w:r w:rsidRPr="00CD6A97">
        <w:t xml:space="preserve">Carey </w:t>
      </w:r>
      <w:r w:rsidR="00CA50E9" w:rsidRPr="00CD6A97">
        <w:t>et</w:t>
      </w:r>
      <w:r w:rsidRPr="00CD6A97">
        <w:t xml:space="preserve"> </w:t>
      </w:r>
      <w:proofErr w:type="spellStart"/>
      <w:r w:rsidR="00CA50E9" w:rsidRPr="00CD6A97">
        <w:t>Tchinlinguirian</w:t>
      </w:r>
      <w:proofErr w:type="spellEnd"/>
      <w:r w:rsidR="00CA50E9" w:rsidRPr="00CD6A97">
        <w:t xml:space="preserve"> (2000)</w:t>
      </w:r>
    </w:p>
    <w:p w14:paraId="4567E8E1" w14:textId="400ABCF6" w:rsidR="001B5361" w:rsidRPr="00CD6A97" w:rsidRDefault="001B5361" w:rsidP="00B9039B">
      <w:pPr>
        <w:pStyle w:val="Pardeliste"/>
        <w:numPr>
          <w:ilvl w:val="0"/>
          <w:numId w:val="4"/>
        </w:numPr>
        <w:spacing w:after="120" w:line="276" w:lineRule="auto"/>
        <w:jc w:val="both"/>
      </w:pPr>
      <w:r w:rsidRPr="00CD6A97">
        <w:t>Recettes fiscales :</w:t>
      </w:r>
      <w:r w:rsidR="00CA50E9" w:rsidRPr="00CD6A97">
        <w:t xml:space="preserve"> définition étendue</w:t>
      </w:r>
      <w:r w:rsidR="00061D00" w:rsidRPr="00CD6A97">
        <w:t xml:space="preserve"> </w:t>
      </w:r>
    </w:p>
    <w:p w14:paraId="1DB03CBC" w14:textId="2789EAC6" w:rsidR="003D4163" w:rsidRPr="00CD6A97" w:rsidRDefault="001B5361" w:rsidP="00B9039B">
      <w:pPr>
        <w:pStyle w:val="Pardeliste"/>
        <w:numPr>
          <w:ilvl w:val="0"/>
          <w:numId w:val="4"/>
        </w:numPr>
        <w:spacing w:after="120" w:line="276" w:lineRule="auto"/>
        <w:jc w:val="both"/>
      </w:pPr>
      <w:r w:rsidRPr="00CD6A97">
        <w:t>B</w:t>
      </w:r>
      <w:r w:rsidR="00CA50E9" w:rsidRPr="00CD6A97">
        <w:t>ase fiscale : consommation privée des ménages + consommation publique (incluant les traitements versés par l’Etat)</w:t>
      </w:r>
    </w:p>
    <w:p w14:paraId="23F3A616" w14:textId="64969298" w:rsidR="003D4163" w:rsidRPr="00CD6A97" w:rsidRDefault="00CA50E9" w:rsidP="00B9039B">
      <w:pPr>
        <w:spacing w:after="120" w:line="276" w:lineRule="auto"/>
        <w:jc w:val="both"/>
        <w:rPr>
          <w:i/>
          <w:iCs/>
        </w:rPr>
      </w:pPr>
      <w:r w:rsidRPr="00CD6A97">
        <w:rPr>
          <w:i/>
          <w:iCs/>
        </w:rPr>
        <w:t xml:space="preserve">Taux implicite = (5110 + 5121 + 5122 + 5123 + 5126 + 5128 + 5200) </w:t>
      </w:r>
      <w:r w:rsidR="003D4163" w:rsidRPr="00CD6A97">
        <w:rPr>
          <w:i/>
          <w:iCs/>
        </w:rPr>
        <w:t>/</w:t>
      </w:r>
      <w:r w:rsidRPr="00CD6A97">
        <w:rPr>
          <w:i/>
          <w:iCs/>
        </w:rPr>
        <w:t xml:space="preserve"> </w:t>
      </w:r>
      <w:r w:rsidR="003D4163" w:rsidRPr="00CD6A97">
        <w:rPr>
          <w:i/>
          <w:iCs/>
        </w:rPr>
        <w:t>(CP</w:t>
      </w:r>
      <w:r w:rsidRPr="00CD6A97">
        <w:rPr>
          <w:i/>
          <w:iCs/>
        </w:rPr>
        <w:t xml:space="preserve"> </w:t>
      </w:r>
      <w:r w:rsidR="003D4163" w:rsidRPr="00CD6A97">
        <w:rPr>
          <w:i/>
          <w:iCs/>
        </w:rPr>
        <w:t>+</w:t>
      </w:r>
      <w:r w:rsidRPr="00CD6A97">
        <w:rPr>
          <w:i/>
          <w:iCs/>
        </w:rPr>
        <w:t xml:space="preserve"> </w:t>
      </w:r>
      <w:r w:rsidR="003D4163" w:rsidRPr="00CD6A97">
        <w:rPr>
          <w:i/>
          <w:iCs/>
        </w:rPr>
        <w:t>CG)</w:t>
      </w:r>
    </w:p>
    <w:p w14:paraId="46CD2D49" w14:textId="2CF596E3" w:rsidR="001B5361" w:rsidRPr="00CD6A97" w:rsidRDefault="001B5361" w:rsidP="002B01DA">
      <w:pPr>
        <w:spacing w:after="120" w:line="276" w:lineRule="auto"/>
        <w:jc w:val="both"/>
        <w:outlineLvl w:val="0"/>
        <w:rPr>
          <w:b/>
        </w:rPr>
      </w:pPr>
      <w:r w:rsidRPr="00CD6A97">
        <w:rPr>
          <w:b/>
        </w:rPr>
        <w:t xml:space="preserve">Notre </w:t>
      </w:r>
      <w:r w:rsidR="0051272D" w:rsidRPr="00CD6A97">
        <w:rPr>
          <w:b/>
        </w:rPr>
        <w:t>calcul des taux implicites est donc le suivant :</w:t>
      </w:r>
    </w:p>
    <w:p w14:paraId="587F7E20" w14:textId="62402013" w:rsidR="001B5361" w:rsidRPr="00CD6A97" w:rsidRDefault="001B5361" w:rsidP="00B9039B">
      <w:pPr>
        <w:pStyle w:val="Pardeliste"/>
        <w:numPr>
          <w:ilvl w:val="0"/>
          <w:numId w:val="4"/>
        </w:numPr>
        <w:spacing w:after="120" w:line="276" w:lineRule="auto"/>
        <w:jc w:val="both"/>
      </w:pPr>
      <w:r w:rsidRPr="00CD6A97">
        <w:t>Recettes fiscales :</w:t>
      </w:r>
      <w:r w:rsidR="00CA50E9" w:rsidRPr="00CD6A97">
        <w:t xml:space="preserve"> définition étendue</w:t>
      </w:r>
    </w:p>
    <w:p w14:paraId="1D952C14" w14:textId="16C0FEE7" w:rsidR="00CA50E9" w:rsidRPr="00CD6A97" w:rsidRDefault="001B5361" w:rsidP="00B9039B">
      <w:pPr>
        <w:pStyle w:val="Pardeliste"/>
        <w:numPr>
          <w:ilvl w:val="0"/>
          <w:numId w:val="4"/>
        </w:numPr>
        <w:spacing w:after="120" w:line="276" w:lineRule="auto"/>
        <w:jc w:val="both"/>
      </w:pPr>
      <w:r w:rsidRPr="00CD6A97">
        <w:t>B</w:t>
      </w:r>
      <w:r w:rsidR="00CA50E9" w:rsidRPr="00CD6A97">
        <w:t>ase fiscale : consommation privée des ménages + consommation publique – traitements versés par l’Etat</w:t>
      </w:r>
    </w:p>
    <w:p w14:paraId="6A39ACB8" w14:textId="1AF96E41" w:rsidR="00CA50E9" w:rsidRPr="00CD6A97" w:rsidRDefault="00CA50E9" w:rsidP="00B9039B">
      <w:pPr>
        <w:spacing w:after="120" w:line="276" w:lineRule="auto"/>
        <w:jc w:val="both"/>
        <w:rPr>
          <w:i/>
          <w:iCs/>
        </w:rPr>
      </w:pPr>
      <w:r w:rsidRPr="00CD6A97">
        <w:rPr>
          <w:i/>
          <w:iCs/>
        </w:rPr>
        <w:t>Taux implicite = (5110 + 5121 + 5122 + 5123 + 5126 + 5128 + 5200) / (CP + CG – CGW)</w:t>
      </w:r>
    </w:p>
    <w:p w14:paraId="15B6428F" w14:textId="6792A82E" w:rsidR="00CA50E9" w:rsidRPr="00CD6A97" w:rsidRDefault="00CA50E9" w:rsidP="00B9039B">
      <w:pPr>
        <w:spacing w:after="120" w:line="276" w:lineRule="auto"/>
        <w:jc w:val="both"/>
      </w:pPr>
      <w:r w:rsidRPr="00CD6A97">
        <w:t xml:space="preserve">La base fiscale est exprimée ici en termes bruts (incluant les taxes indirectes), tout comme Eurostat ou Carey et </w:t>
      </w:r>
      <w:proofErr w:type="spellStart"/>
      <w:r w:rsidRPr="00CD6A97">
        <w:t>Tchinilinguirian</w:t>
      </w:r>
      <w:proofErr w:type="spellEnd"/>
      <w:r w:rsidR="0083650E" w:rsidRPr="00CD6A97">
        <w:t xml:space="preserve"> (2000).</w:t>
      </w:r>
    </w:p>
    <w:p w14:paraId="78CB8F76" w14:textId="7BB05BCF" w:rsidR="00E62EE0" w:rsidRPr="00CD6A97" w:rsidRDefault="001B5361" w:rsidP="00B9039B">
      <w:pPr>
        <w:spacing w:after="120" w:line="276" w:lineRule="auto"/>
        <w:jc w:val="both"/>
      </w:pPr>
      <w:r w:rsidRPr="00CD6A97">
        <w:t>Le numérateur correspond aux recettes fi</w:t>
      </w:r>
      <w:r w:rsidR="007713B7" w:rsidRPr="00CD6A97">
        <w:t>scales, en pourcentage du PIB. O</w:t>
      </w:r>
      <w:r w:rsidR="00B14C27" w:rsidRPr="00CD6A97">
        <w:t>utre les taxes générales sur la vente des</w:t>
      </w:r>
      <w:r w:rsidR="007713B7" w:rsidRPr="00CD6A97">
        <w:t xml:space="preserve"> biens et services</w:t>
      </w:r>
      <w:r w:rsidR="00B14C27" w:rsidRPr="00CD6A97">
        <w:t xml:space="preserve"> (5110)</w:t>
      </w:r>
      <w:r w:rsidR="007713B7" w:rsidRPr="00CD6A97">
        <w:t xml:space="preserve">, </w:t>
      </w:r>
      <w:r w:rsidR="00B14C27" w:rsidRPr="00CD6A97">
        <w:t xml:space="preserve">et les taxes sur l’utilisation des biens et services (5200), </w:t>
      </w:r>
      <w:r w:rsidR="007713B7" w:rsidRPr="00CD6A97">
        <w:t>t</w:t>
      </w:r>
      <w:r w:rsidRPr="00CD6A97">
        <w:t xml:space="preserve">outes les taxes sur </w:t>
      </w:r>
      <w:r w:rsidR="00B14C27" w:rsidRPr="00CD6A97">
        <w:t xml:space="preserve">la vente des </w:t>
      </w:r>
      <w:r w:rsidRPr="00CD6A97">
        <w:t xml:space="preserve">biens et services </w:t>
      </w:r>
      <w:r w:rsidR="007713B7" w:rsidRPr="00CD6A97">
        <w:t xml:space="preserve">spécifiques </w:t>
      </w:r>
      <w:r w:rsidRPr="00CD6A97">
        <w:t>sont inclu</w:t>
      </w:r>
      <w:r w:rsidR="00E62EE0" w:rsidRPr="00CD6A97">
        <w:t>s</w:t>
      </w:r>
      <w:r w:rsidRPr="00CD6A97">
        <w:t>es, à l’exception</w:t>
      </w:r>
      <w:r w:rsidR="00E62EE0" w:rsidRPr="00CD6A97">
        <w:t xml:space="preserve"> des taxes sur les exportations (5124), des taxes sur les biens d’investissement (5125), et des autres taxes sur les échanges internationaux (5127). Les hypothèses motivant la décision d’inclure ou d’exclure les différentes taxes sur les biens et services sont détaillées dans Carey et </w:t>
      </w:r>
      <w:proofErr w:type="spellStart"/>
      <w:r w:rsidR="00E62EE0" w:rsidRPr="00CD6A97">
        <w:t>Tchinlinguirian</w:t>
      </w:r>
      <w:proofErr w:type="spellEnd"/>
      <w:r w:rsidR="00E62EE0" w:rsidRPr="00CD6A97">
        <w:t xml:space="preserve"> (2000).</w:t>
      </w:r>
    </w:p>
    <w:p w14:paraId="55D4C902" w14:textId="6AEC949F" w:rsidR="00E62EE0" w:rsidRDefault="00E62EE0" w:rsidP="00B9039B">
      <w:pPr>
        <w:spacing w:after="120" w:line="276" w:lineRule="auto"/>
        <w:jc w:val="both"/>
      </w:pPr>
      <w:r w:rsidRPr="00CD6A97">
        <w:t>Le dénominateur correspond à la base fiscale. La consommation privée des ménages (CP) et la consommation publique (CG) sont toutes deux incluses.</w:t>
      </w:r>
      <w:r w:rsidR="0083650E" w:rsidRPr="00CD6A97">
        <w:t xml:space="preserve"> L</w:t>
      </w:r>
      <w:r w:rsidRPr="00CD6A97">
        <w:t>a consommation privée surestime probablement la base fiscale dans le sens où un certain nombre de biens ne sont pas soumis aux taxes à la consommation (</w:t>
      </w:r>
      <w:r w:rsidR="005242D7" w:rsidRPr="00CD6A97">
        <w:t>notamment les loyers</w:t>
      </w:r>
      <w:r w:rsidRPr="00CD6A97">
        <w:t xml:space="preserve">). La consommation publique est incluse pour mesurer la taxation indirecte payée par le secteur public. Les salaires et traitements versés par l’Etat sont </w:t>
      </w:r>
      <w:r w:rsidR="0083650E" w:rsidRPr="00CD6A97">
        <w:t>en revanche exclu</w:t>
      </w:r>
      <w:r w:rsidRPr="00CD6A97">
        <w:t xml:space="preserve">s, </w:t>
      </w:r>
      <w:r w:rsidR="0083650E" w:rsidRPr="00CD6A97">
        <w:t>puisqu’ils</w:t>
      </w:r>
      <w:r w:rsidRPr="00CD6A97">
        <w:t xml:space="preserve"> ne sont pas soumis à la taxation indirecte</w:t>
      </w:r>
      <w:r w:rsidR="0083650E" w:rsidRPr="00CD6A97">
        <w:t xml:space="preserve"> sur la consommation</w:t>
      </w:r>
      <w:r w:rsidRPr="00CD6A97">
        <w:t xml:space="preserve">. En outre, </w:t>
      </w:r>
      <w:r w:rsidR="0083650E" w:rsidRPr="00CD6A97">
        <w:t>le nombre de fonctionnaires étant très variable dans notre échantillon, les taux implicites seraient systématiquement biaisés à la baisse dans certains pays d’Europe si nous conservions c</w:t>
      </w:r>
      <w:r w:rsidR="00AA193A">
        <w:t>e facteur dans le dénominateur.</w:t>
      </w:r>
    </w:p>
    <w:p w14:paraId="718227A7" w14:textId="77777777" w:rsidR="00AA193A" w:rsidRPr="00CD6A97" w:rsidRDefault="00AA193A" w:rsidP="00B9039B">
      <w:pPr>
        <w:spacing w:after="120" w:line="276" w:lineRule="auto"/>
        <w:jc w:val="both"/>
      </w:pPr>
    </w:p>
    <w:p w14:paraId="0B1E356C" w14:textId="7404B5B3" w:rsidR="003D4163" w:rsidRPr="00CD6A97" w:rsidRDefault="0083650E" w:rsidP="002B01DA">
      <w:pPr>
        <w:spacing w:after="120" w:line="276" w:lineRule="auto"/>
        <w:jc w:val="both"/>
        <w:outlineLvl w:val="0"/>
        <w:rPr>
          <w:b/>
          <w:u w:val="single"/>
        </w:rPr>
      </w:pPr>
      <w:r w:rsidRPr="00CD6A97">
        <w:rPr>
          <w:b/>
          <w:u w:val="single"/>
        </w:rPr>
        <w:t>Tableau récapitulatif de la fiscalit</w:t>
      </w:r>
      <w:r w:rsidR="00B9039B">
        <w:rPr>
          <w:b/>
          <w:u w:val="single"/>
        </w:rPr>
        <w:t>é indirecte sur la consommation</w:t>
      </w:r>
    </w:p>
    <w:tbl>
      <w:tblPr>
        <w:tblW w:w="0" w:type="auto"/>
        <w:tblBorders>
          <w:top w:val="nil"/>
          <w:left w:val="nil"/>
          <w:right w:val="nil"/>
        </w:tblBorders>
        <w:tblLook w:val="0000" w:firstRow="0" w:lastRow="0" w:firstColumn="0" w:lastColumn="0" w:noHBand="0" w:noVBand="0"/>
      </w:tblPr>
      <w:tblGrid>
        <w:gridCol w:w="5878"/>
        <w:gridCol w:w="3508"/>
      </w:tblGrid>
      <w:tr w:rsidR="005D0889" w:rsidRPr="003D20D9" w14:paraId="066086A4" w14:textId="77777777" w:rsidTr="003D20D9">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0EFD70EA" w14:textId="562D5C0B" w:rsidR="003D4163" w:rsidRPr="003D20D9" w:rsidRDefault="003D20D9" w:rsidP="00B9039B">
            <w:pPr>
              <w:spacing w:after="120" w:line="276" w:lineRule="auto"/>
              <w:jc w:val="both"/>
              <w:rPr>
                <w:b/>
              </w:rPr>
            </w:pPr>
            <w:r w:rsidRPr="003D20D9">
              <w:rPr>
                <w:b/>
              </w:rPr>
              <w:t>Recettes fiscales</w:t>
            </w: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2BE18964" w14:textId="2530E5FE" w:rsidR="003D4163" w:rsidRPr="003D20D9" w:rsidRDefault="003D20D9" w:rsidP="00B9039B">
            <w:pPr>
              <w:spacing w:after="120" w:line="276" w:lineRule="auto"/>
              <w:jc w:val="both"/>
              <w:rPr>
                <w:b/>
              </w:rPr>
            </w:pPr>
            <w:r w:rsidRPr="003D20D9">
              <w:rPr>
                <w:b/>
              </w:rPr>
              <w:t>Base fiscale</w:t>
            </w:r>
          </w:p>
        </w:tc>
      </w:tr>
      <w:tr w:rsidR="005D0889" w:rsidRPr="00CD6A97" w14:paraId="500D03E2" w14:textId="77777777" w:rsidTr="003D20D9">
        <w:tblPrEx>
          <w:tblBorders>
            <w:top w:val="none" w:sz="0" w:space="0" w:color="auto"/>
          </w:tblBorders>
        </w:tblPrEx>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5DEEF45D" w14:textId="6F174F1E" w:rsidR="00520F60" w:rsidRPr="00CD6A97" w:rsidRDefault="00520F60" w:rsidP="00B9039B">
            <w:pPr>
              <w:spacing w:before="100" w:beforeAutospacing="1" w:after="100" w:afterAutospacing="1"/>
              <w:jc w:val="both"/>
              <w:rPr>
                <w:rFonts w:cs="Times New Roman"/>
                <w:lang w:eastAsia="fr-FR"/>
              </w:rPr>
            </w:pPr>
            <w:r w:rsidRPr="00520F60">
              <w:rPr>
                <w:rFonts w:cs="Times New Roman"/>
                <w:lang w:eastAsia="fr-FR"/>
              </w:rPr>
              <w:t xml:space="preserve">5000 </w:t>
            </w:r>
            <w:r w:rsidR="005D0889" w:rsidRPr="00520F60">
              <w:rPr>
                <w:rFonts w:cs="Times New Roman"/>
                <w:lang w:eastAsia="fr-FR"/>
              </w:rPr>
              <w:t>Impôts</w:t>
            </w:r>
            <w:r w:rsidRPr="00520F60">
              <w:rPr>
                <w:rFonts w:cs="Times New Roman"/>
                <w:lang w:eastAsia="fr-FR"/>
              </w:rPr>
              <w:t xml:space="preserve"> sur les biens et services </w:t>
            </w:r>
          </w:p>
          <w:p w14:paraId="33218767" w14:textId="65B2A61F" w:rsidR="00520F60" w:rsidRPr="003D20D9" w:rsidRDefault="00520F60" w:rsidP="00B9039B">
            <w:pPr>
              <w:pStyle w:val="Pardeliste"/>
              <w:numPr>
                <w:ilvl w:val="0"/>
                <w:numId w:val="4"/>
              </w:numPr>
              <w:spacing w:before="100" w:beforeAutospacing="1" w:after="100" w:afterAutospacing="1"/>
              <w:jc w:val="both"/>
              <w:rPr>
                <w:rFonts w:cs="Times New Roman"/>
                <w:lang w:eastAsia="fr-FR"/>
              </w:rPr>
            </w:pPr>
            <w:r w:rsidRPr="003D20D9">
              <w:rPr>
                <w:rFonts w:cs="Times New Roman"/>
                <w:lang w:eastAsia="fr-FR"/>
              </w:rPr>
              <w:t xml:space="preserve">5100 </w:t>
            </w:r>
            <w:r w:rsidR="005D0889" w:rsidRPr="003D20D9">
              <w:rPr>
                <w:rFonts w:cs="Times New Roman"/>
                <w:lang w:eastAsia="fr-FR"/>
              </w:rPr>
              <w:t>Impôts</w:t>
            </w:r>
            <w:r w:rsidRPr="003D20D9">
              <w:rPr>
                <w:rFonts w:cs="Times New Roman"/>
                <w:lang w:eastAsia="fr-FR"/>
              </w:rPr>
              <w:t xml:space="preserve"> sur la production, la vente, le transfert, la location et la livraison des biens et la prestation de services </w:t>
            </w:r>
          </w:p>
          <w:p w14:paraId="75889903" w14:textId="0EBDF1AF" w:rsidR="003D20D9" w:rsidRPr="003D20D9" w:rsidRDefault="00520F60" w:rsidP="00B9039B">
            <w:pPr>
              <w:pStyle w:val="Pardeliste"/>
              <w:numPr>
                <w:ilvl w:val="1"/>
                <w:numId w:val="4"/>
              </w:numPr>
              <w:spacing w:before="100" w:beforeAutospacing="1" w:after="100" w:afterAutospacing="1"/>
              <w:jc w:val="both"/>
              <w:rPr>
                <w:rFonts w:cs="Times New Roman"/>
                <w:b/>
                <w:lang w:eastAsia="fr-FR"/>
              </w:rPr>
            </w:pPr>
            <w:r w:rsidRPr="003D20D9">
              <w:rPr>
                <w:rFonts w:cs="Times New Roman"/>
                <w:b/>
                <w:lang w:eastAsia="fr-FR"/>
              </w:rPr>
              <w:t xml:space="preserve">5110 </w:t>
            </w:r>
            <w:r w:rsidR="005D0889" w:rsidRPr="003D20D9">
              <w:rPr>
                <w:rFonts w:cs="Times New Roman"/>
                <w:b/>
                <w:lang w:eastAsia="fr-FR"/>
              </w:rPr>
              <w:t>Impôts</w:t>
            </w:r>
            <w:r w:rsidRPr="003D20D9">
              <w:rPr>
                <w:rFonts w:cs="Times New Roman"/>
                <w:b/>
                <w:lang w:eastAsia="fr-FR"/>
              </w:rPr>
              <w:t xml:space="preserve"> </w:t>
            </w:r>
            <w:r w:rsidR="005D0889" w:rsidRPr="003D20D9">
              <w:rPr>
                <w:rFonts w:cs="Times New Roman"/>
                <w:b/>
                <w:lang w:eastAsia="fr-FR"/>
              </w:rPr>
              <w:t>généraux</w:t>
            </w:r>
            <w:r w:rsidRPr="003D20D9">
              <w:rPr>
                <w:rFonts w:cs="Times New Roman"/>
                <w:b/>
                <w:lang w:eastAsia="fr-FR"/>
              </w:rPr>
              <w:t xml:space="preserve"> </w:t>
            </w:r>
          </w:p>
          <w:p w14:paraId="11B12840" w14:textId="43C45379"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5111 Taxes sur la valeur </w:t>
            </w:r>
            <w:r w:rsidR="005D0889" w:rsidRPr="003D20D9">
              <w:rPr>
                <w:rFonts w:cs="Times New Roman"/>
                <w:b/>
                <w:lang w:eastAsia="fr-FR"/>
              </w:rPr>
              <w:t>ajoutée</w:t>
            </w:r>
            <w:r w:rsidRPr="003D20D9">
              <w:rPr>
                <w:rFonts w:cs="Times New Roman"/>
                <w:b/>
                <w:lang w:eastAsia="fr-FR"/>
              </w:rPr>
              <w:t xml:space="preserve"> </w:t>
            </w:r>
          </w:p>
          <w:p w14:paraId="3BBA4370" w14:textId="3073162D"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5112 </w:t>
            </w:r>
            <w:r w:rsidR="005D0889">
              <w:rPr>
                <w:rFonts w:cs="Times New Roman"/>
                <w:b/>
                <w:lang w:eastAsia="fr-FR"/>
              </w:rPr>
              <w:t>Impôts</w:t>
            </w:r>
            <w:r w:rsidRPr="003D20D9">
              <w:rPr>
                <w:rFonts w:cs="Times New Roman"/>
                <w:b/>
                <w:lang w:eastAsia="fr-FR"/>
              </w:rPr>
              <w:t xml:space="preserve"> sur les ventes </w:t>
            </w:r>
          </w:p>
          <w:p w14:paraId="30A0D083" w14:textId="754722BA"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5113 Autres </w:t>
            </w:r>
            <w:r w:rsidR="005D0889" w:rsidRPr="003D20D9">
              <w:rPr>
                <w:rFonts w:cs="Times New Roman"/>
                <w:b/>
                <w:lang w:eastAsia="fr-FR"/>
              </w:rPr>
              <w:t>impôts</w:t>
            </w:r>
            <w:r w:rsidRPr="003D20D9">
              <w:rPr>
                <w:rFonts w:cs="Times New Roman"/>
                <w:b/>
                <w:lang w:eastAsia="fr-FR"/>
              </w:rPr>
              <w:t xml:space="preserve"> </w:t>
            </w:r>
            <w:r w:rsidR="005D0889" w:rsidRPr="003D20D9">
              <w:rPr>
                <w:rFonts w:cs="Times New Roman"/>
                <w:b/>
                <w:lang w:eastAsia="fr-FR"/>
              </w:rPr>
              <w:t>généraux</w:t>
            </w:r>
            <w:r w:rsidRPr="003D20D9">
              <w:rPr>
                <w:rFonts w:cs="Times New Roman"/>
                <w:b/>
                <w:lang w:eastAsia="fr-FR"/>
              </w:rPr>
              <w:t xml:space="preserve"> sur les biens et services </w:t>
            </w:r>
          </w:p>
          <w:p w14:paraId="21ADC9AE" w14:textId="1E8D28A6" w:rsidR="003D20D9" w:rsidRDefault="00520F60" w:rsidP="00B9039B">
            <w:pPr>
              <w:pStyle w:val="Pardeliste"/>
              <w:numPr>
                <w:ilvl w:val="1"/>
                <w:numId w:val="4"/>
              </w:numPr>
              <w:spacing w:before="100" w:beforeAutospacing="1" w:after="100" w:afterAutospacing="1"/>
              <w:jc w:val="both"/>
              <w:rPr>
                <w:rFonts w:cs="Times New Roman"/>
                <w:lang w:eastAsia="fr-FR"/>
              </w:rPr>
            </w:pPr>
            <w:r w:rsidRPr="003D20D9">
              <w:rPr>
                <w:rFonts w:cs="Times New Roman"/>
                <w:lang w:eastAsia="fr-FR"/>
              </w:rPr>
              <w:t xml:space="preserve">5120 </w:t>
            </w:r>
            <w:r w:rsidR="005D0889" w:rsidRPr="003D20D9">
              <w:rPr>
                <w:rFonts w:cs="Times New Roman"/>
                <w:lang w:eastAsia="fr-FR"/>
              </w:rPr>
              <w:t>Impôts</w:t>
            </w:r>
            <w:r w:rsidRPr="003D20D9">
              <w:rPr>
                <w:rFonts w:cs="Times New Roman"/>
                <w:lang w:eastAsia="fr-FR"/>
              </w:rPr>
              <w:t xml:space="preserve"> sur des biens et des services </w:t>
            </w:r>
            <w:r w:rsidR="005D0889" w:rsidRPr="003D20D9">
              <w:rPr>
                <w:rFonts w:cs="Times New Roman"/>
                <w:lang w:eastAsia="fr-FR"/>
              </w:rPr>
              <w:t>déterminés</w:t>
            </w:r>
            <w:r w:rsidRPr="003D20D9">
              <w:rPr>
                <w:rFonts w:cs="Times New Roman"/>
                <w:lang w:eastAsia="fr-FR"/>
              </w:rPr>
              <w:t xml:space="preserve"> </w:t>
            </w:r>
          </w:p>
          <w:p w14:paraId="4AC9E54C" w14:textId="77777777"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5121 Accises </w:t>
            </w:r>
          </w:p>
          <w:p w14:paraId="770D2274" w14:textId="18782864"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5122 </w:t>
            </w:r>
            <w:r w:rsidR="005D0889" w:rsidRPr="003D20D9">
              <w:rPr>
                <w:rFonts w:cs="Times New Roman"/>
                <w:b/>
                <w:lang w:eastAsia="fr-FR"/>
              </w:rPr>
              <w:t>Bénéfices</w:t>
            </w:r>
            <w:r w:rsidRPr="003D20D9">
              <w:rPr>
                <w:rFonts w:cs="Times New Roman"/>
                <w:b/>
                <w:lang w:eastAsia="fr-FR"/>
              </w:rPr>
              <w:t xml:space="preserve"> des monopoles fiscaux </w:t>
            </w:r>
          </w:p>
          <w:p w14:paraId="0B488709" w14:textId="77777777"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5123 Droits de douane et droits à l’importation </w:t>
            </w:r>
          </w:p>
          <w:p w14:paraId="605C0FE3" w14:textId="77777777" w:rsidR="003D20D9" w:rsidRDefault="00520F60" w:rsidP="00B9039B">
            <w:pPr>
              <w:pStyle w:val="Pardeliste"/>
              <w:numPr>
                <w:ilvl w:val="2"/>
                <w:numId w:val="4"/>
              </w:numPr>
              <w:spacing w:before="100" w:beforeAutospacing="1" w:after="100" w:afterAutospacing="1"/>
              <w:jc w:val="both"/>
              <w:rPr>
                <w:rFonts w:cs="Times New Roman"/>
                <w:lang w:eastAsia="fr-FR"/>
              </w:rPr>
            </w:pPr>
            <w:r w:rsidRPr="003D20D9">
              <w:rPr>
                <w:rFonts w:cs="Times New Roman"/>
                <w:lang w:eastAsia="fr-FR"/>
              </w:rPr>
              <w:t xml:space="preserve">5124 Taxes à l’exportation </w:t>
            </w:r>
          </w:p>
          <w:p w14:paraId="6773340B" w14:textId="5239C9E7" w:rsidR="003D20D9" w:rsidRDefault="00520F60" w:rsidP="00B9039B">
            <w:pPr>
              <w:pStyle w:val="Pardeliste"/>
              <w:numPr>
                <w:ilvl w:val="2"/>
                <w:numId w:val="4"/>
              </w:numPr>
              <w:spacing w:before="100" w:beforeAutospacing="1" w:after="100" w:afterAutospacing="1"/>
              <w:jc w:val="both"/>
              <w:rPr>
                <w:rFonts w:cs="Times New Roman"/>
                <w:lang w:eastAsia="fr-FR"/>
              </w:rPr>
            </w:pPr>
            <w:r w:rsidRPr="003D20D9">
              <w:rPr>
                <w:rFonts w:cs="Times New Roman"/>
                <w:lang w:eastAsia="fr-FR"/>
              </w:rPr>
              <w:t xml:space="preserve">5125 </w:t>
            </w:r>
            <w:r w:rsidR="005D0889" w:rsidRPr="003D20D9">
              <w:rPr>
                <w:rFonts w:cs="Times New Roman"/>
                <w:lang w:eastAsia="fr-FR"/>
              </w:rPr>
              <w:t>Impôts</w:t>
            </w:r>
            <w:r w:rsidRPr="003D20D9">
              <w:rPr>
                <w:rFonts w:cs="Times New Roman"/>
                <w:lang w:eastAsia="fr-FR"/>
              </w:rPr>
              <w:t xml:space="preserve"> sur les biens d’</w:t>
            </w:r>
            <w:r w:rsidR="005D0889" w:rsidRPr="003D20D9">
              <w:rPr>
                <w:rFonts w:cs="Times New Roman"/>
                <w:lang w:eastAsia="fr-FR"/>
              </w:rPr>
              <w:t>équipement</w:t>
            </w:r>
            <w:r w:rsidRPr="003D20D9">
              <w:rPr>
                <w:rFonts w:cs="Times New Roman"/>
                <w:lang w:eastAsia="fr-FR"/>
              </w:rPr>
              <w:t xml:space="preserve"> </w:t>
            </w:r>
          </w:p>
          <w:p w14:paraId="3186E0C6" w14:textId="1525479D"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5126 </w:t>
            </w:r>
            <w:r w:rsidR="005D0889" w:rsidRPr="003D20D9">
              <w:rPr>
                <w:rFonts w:cs="Times New Roman"/>
                <w:b/>
                <w:lang w:eastAsia="fr-FR"/>
              </w:rPr>
              <w:t>Impôts</w:t>
            </w:r>
            <w:r w:rsidRPr="003D20D9">
              <w:rPr>
                <w:rFonts w:cs="Times New Roman"/>
                <w:b/>
                <w:lang w:eastAsia="fr-FR"/>
              </w:rPr>
              <w:t xml:space="preserve"> sur des services </w:t>
            </w:r>
            <w:r w:rsidR="005D0889" w:rsidRPr="003D20D9">
              <w:rPr>
                <w:rFonts w:cs="Times New Roman"/>
                <w:b/>
                <w:lang w:eastAsia="fr-FR"/>
              </w:rPr>
              <w:t>déterminés</w:t>
            </w:r>
            <w:r w:rsidRPr="003D20D9">
              <w:rPr>
                <w:rFonts w:cs="Times New Roman"/>
                <w:b/>
                <w:lang w:eastAsia="fr-FR"/>
              </w:rPr>
              <w:t xml:space="preserve"> </w:t>
            </w:r>
          </w:p>
          <w:p w14:paraId="2AF824A5" w14:textId="1BE8E5A2" w:rsidR="003D20D9" w:rsidRDefault="00520F60" w:rsidP="00B9039B">
            <w:pPr>
              <w:pStyle w:val="Pardeliste"/>
              <w:numPr>
                <w:ilvl w:val="2"/>
                <w:numId w:val="4"/>
              </w:numPr>
              <w:spacing w:before="100" w:beforeAutospacing="1" w:after="100" w:afterAutospacing="1"/>
              <w:jc w:val="both"/>
              <w:rPr>
                <w:rFonts w:cs="Times New Roman"/>
                <w:lang w:eastAsia="fr-FR"/>
              </w:rPr>
            </w:pPr>
            <w:r w:rsidRPr="003D20D9">
              <w:rPr>
                <w:rFonts w:cs="Times New Roman"/>
                <w:lang w:eastAsia="fr-FR"/>
              </w:rPr>
              <w:t xml:space="preserve">5127 Autres </w:t>
            </w:r>
            <w:r w:rsidR="005D0889" w:rsidRPr="003D20D9">
              <w:rPr>
                <w:rFonts w:cs="Times New Roman"/>
                <w:lang w:eastAsia="fr-FR"/>
              </w:rPr>
              <w:t>impôts</w:t>
            </w:r>
            <w:r w:rsidRPr="003D20D9">
              <w:rPr>
                <w:rFonts w:cs="Times New Roman"/>
                <w:lang w:eastAsia="fr-FR"/>
              </w:rPr>
              <w:t xml:space="preserve"> sur les transactions et les </w:t>
            </w:r>
            <w:r w:rsidR="005D0889" w:rsidRPr="003D20D9">
              <w:rPr>
                <w:rFonts w:cs="Times New Roman"/>
                <w:lang w:eastAsia="fr-FR"/>
              </w:rPr>
              <w:t>échanges</w:t>
            </w:r>
            <w:r w:rsidRPr="003D20D9">
              <w:rPr>
                <w:rFonts w:cs="Times New Roman"/>
                <w:lang w:eastAsia="fr-FR"/>
              </w:rPr>
              <w:t xml:space="preserve"> internationaux </w:t>
            </w:r>
          </w:p>
          <w:p w14:paraId="641164C6" w14:textId="65A5675B"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5128 Autres </w:t>
            </w:r>
            <w:r w:rsidR="005D0889" w:rsidRPr="003D20D9">
              <w:rPr>
                <w:rFonts w:cs="Times New Roman"/>
                <w:b/>
                <w:lang w:eastAsia="fr-FR"/>
              </w:rPr>
              <w:t>impôts</w:t>
            </w:r>
            <w:r w:rsidRPr="003D20D9">
              <w:rPr>
                <w:rFonts w:cs="Times New Roman"/>
                <w:b/>
                <w:lang w:eastAsia="fr-FR"/>
              </w:rPr>
              <w:t xml:space="preserve"> sur des biens et services </w:t>
            </w:r>
            <w:r w:rsidR="005D0889" w:rsidRPr="003D20D9">
              <w:rPr>
                <w:rFonts w:cs="Times New Roman"/>
                <w:b/>
                <w:lang w:eastAsia="fr-FR"/>
              </w:rPr>
              <w:t>déterminés</w:t>
            </w:r>
            <w:r w:rsidRPr="003D20D9">
              <w:rPr>
                <w:rFonts w:cs="Times New Roman"/>
                <w:b/>
                <w:lang w:eastAsia="fr-FR"/>
              </w:rPr>
              <w:t xml:space="preserve"> </w:t>
            </w:r>
          </w:p>
          <w:p w14:paraId="21584DD4" w14:textId="0A53F652" w:rsidR="00520F60" w:rsidRPr="003D20D9" w:rsidRDefault="00520F60" w:rsidP="00B9039B">
            <w:pPr>
              <w:pStyle w:val="Pardeliste"/>
              <w:numPr>
                <w:ilvl w:val="1"/>
                <w:numId w:val="4"/>
              </w:numPr>
              <w:spacing w:before="100" w:beforeAutospacing="1" w:after="100" w:afterAutospacing="1"/>
              <w:jc w:val="both"/>
              <w:rPr>
                <w:rFonts w:cs="Times New Roman"/>
                <w:lang w:eastAsia="fr-FR"/>
              </w:rPr>
            </w:pPr>
            <w:r w:rsidRPr="003D20D9">
              <w:rPr>
                <w:rFonts w:cs="Times New Roman"/>
                <w:lang w:eastAsia="fr-FR"/>
              </w:rPr>
              <w:t xml:space="preserve">5130 Non </w:t>
            </w:r>
            <w:proofErr w:type="spellStart"/>
            <w:r w:rsidRPr="003D20D9">
              <w:rPr>
                <w:rFonts w:cs="Times New Roman"/>
                <w:lang w:eastAsia="fr-FR"/>
              </w:rPr>
              <w:t>ventilables</w:t>
            </w:r>
            <w:proofErr w:type="spellEnd"/>
            <w:r w:rsidRPr="003D20D9">
              <w:rPr>
                <w:rFonts w:cs="Times New Roman"/>
                <w:lang w:eastAsia="fr-FR"/>
              </w:rPr>
              <w:t xml:space="preserve"> entre les rubriques 5110 et 5120 </w:t>
            </w:r>
          </w:p>
          <w:p w14:paraId="53AE7829" w14:textId="542D3CD8" w:rsidR="00520F60" w:rsidRPr="003D20D9" w:rsidRDefault="00520F60" w:rsidP="00B9039B">
            <w:pPr>
              <w:pStyle w:val="Pardeliste"/>
              <w:numPr>
                <w:ilvl w:val="0"/>
                <w:numId w:val="4"/>
              </w:numPr>
              <w:spacing w:before="100" w:beforeAutospacing="1" w:after="100" w:afterAutospacing="1"/>
              <w:jc w:val="both"/>
              <w:rPr>
                <w:rFonts w:cs="Times New Roman"/>
                <w:b/>
                <w:lang w:eastAsia="fr-FR"/>
              </w:rPr>
            </w:pPr>
            <w:r w:rsidRPr="003D20D9">
              <w:rPr>
                <w:rFonts w:cs="Times New Roman"/>
                <w:b/>
                <w:lang w:eastAsia="fr-FR"/>
              </w:rPr>
              <w:t xml:space="preserve">5200 </w:t>
            </w:r>
            <w:r w:rsidR="005D0889" w:rsidRPr="003D20D9">
              <w:rPr>
                <w:rFonts w:cs="Times New Roman"/>
                <w:b/>
                <w:lang w:eastAsia="fr-FR"/>
              </w:rPr>
              <w:t>Impôts</w:t>
            </w:r>
            <w:r w:rsidRPr="003D20D9">
              <w:rPr>
                <w:rFonts w:cs="Times New Roman"/>
                <w:b/>
                <w:lang w:eastAsia="fr-FR"/>
              </w:rPr>
              <w:t xml:space="preserve"> sur l’utilisation des biens ou l’autorisation d’utiliser des biens ou d’exercer des </w:t>
            </w:r>
            <w:r w:rsidR="005D0889" w:rsidRPr="003D20D9">
              <w:rPr>
                <w:rFonts w:cs="Times New Roman"/>
                <w:b/>
                <w:lang w:eastAsia="fr-FR"/>
              </w:rPr>
              <w:t>activités</w:t>
            </w:r>
            <w:r w:rsidRPr="003D20D9">
              <w:rPr>
                <w:rFonts w:cs="Times New Roman"/>
                <w:b/>
                <w:lang w:eastAsia="fr-FR"/>
              </w:rPr>
              <w:t xml:space="preserve"> </w:t>
            </w:r>
          </w:p>
          <w:p w14:paraId="6744A352" w14:textId="105BF683" w:rsidR="00520F60" w:rsidRPr="003D20D9" w:rsidRDefault="00520F60" w:rsidP="00B9039B">
            <w:pPr>
              <w:pStyle w:val="Pardeliste"/>
              <w:numPr>
                <w:ilvl w:val="1"/>
                <w:numId w:val="4"/>
              </w:numPr>
              <w:spacing w:before="100" w:beforeAutospacing="1" w:after="100" w:afterAutospacing="1"/>
              <w:jc w:val="both"/>
              <w:rPr>
                <w:rFonts w:cs="Times New Roman"/>
                <w:b/>
                <w:lang w:eastAsia="fr-FR"/>
              </w:rPr>
            </w:pPr>
            <w:r w:rsidRPr="003D20D9">
              <w:rPr>
                <w:rFonts w:cs="Times New Roman"/>
                <w:b/>
                <w:lang w:eastAsia="fr-FR"/>
              </w:rPr>
              <w:t xml:space="preserve">5210 </w:t>
            </w:r>
            <w:r w:rsidR="005D0889" w:rsidRPr="003D20D9">
              <w:rPr>
                <w:rFonts w:cs="Times New Roman"/>
                <w:b/>
                <w:lang w:eastAsia="fr-FR"/>
              </w:rPr>
              <w:t>Impôts</w:t>
            </w:r>
            <w:r w:rsidRPr="003D20D9">
              <w:rPr>
                <w:rFonts w:cs="Times New Roman"/>
                <w:b/>
                <w:lang w:eastAsia="fr-FR"/>
              </w:rPr>
              <w:t xml:space="preserve"> </w:t>
            </w:r>
            <w:r w:rsidR="005D0889" w:rsidRPr="003D20D9">
              <w:rPr>
                <w:rFonts w:cs="Times New Roman"/>
                <w:b/>
                <w:lang w:eastAsia="fr-FR"/>
              </w:rPr>
              <w:t>périodiques</w:t>
            </w:r>
            <w:r w:rsidRPr="003D20D9">
              <w:rPr>
                <w:rFonts w:cs="Times New Roman"/>
                <w:b/>
                <w:lang w:eastAsia="fr-FR"/>
              </w:rPr>
              <w:t xml:space="preserve"> </w:t>
            </w:r>
          </w:p>
          <w:p w14:paraId="1B16FDB4" w14:textId="02197118"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5211 À la charge des </w:t>
            </w:r>
            <w:r w:rsidR="005D0889" w:rsidRPr="003D20D9">
              <w:rPr>
                <w:rFonts w:cs="Times New Roman"/>
                <w:b/>
                <w:lang w:eastAsia="fr-FR"/>
              </w:rPr>
              <w:t>ménages</w:t>
            </w:r>
            <w:r w:rsidRPr="003D20D9">
              <w:rPr>
                <w:rFonts w:cs="Times New Roman"/>
                <w:b/>
                <w:lang w:eastAsia="fr-FR"/>
              </w:rPr>
              <w:t xml:space="preserve"> au titre de </w:t>
            </w:r>
            <w:r w:rsidR="005D0889" w:rsidRPr="003D20D9">
              <w:rPr>
                <w:rFonts w:cs="Times New Roman"/>
                <w:b/>
                <w:lang w:eastAsia="fr-FR"/>
              </w:rPr>
              <w:t>véhicules</w:t>
            </w:r>
            <w:r w:rsidRPr="003D20D9">
              <w:rPr>
                <w:rFonts w:cs="Times New Roman"/>
                <w:b/>
                <w:lang w:eastAsia="fr-FR"/>
              </w:rPr>
              <w:t xml:space="preserve"> à moteur </w:t>
            </w:r>
          </w:p>
          <w:p w14:paraId="11B03D1B" w14:textId="170537FB"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5212 À la charge d’autres agents au titre de </w:t>
            </w:r>
            <w:r w:rsidR="005D0889" w:rsidRPr="003D20D9">
              <w:rPr>
                <w:rFonts w:cs="Times New Roman"/>
                <w:b/>
                <w:lang w:eastAsia="fr-FR"/>
              </w:rPr>
              <w:t>véhicules</w:t>
            </w:r>
            <w:r w:rsidRPr="003D20D9">
              <w:rPr>
                <w:rFonts w:cs="Times New Roman"/>
                <w:b/>
                <w:lang w:eastAsia="fr-FR"/>
              </w:rPr>
              <w:t xml:space="preserve"> à moteur </w:t>
            </w:r>
          </w:p>
          <w:p w14:paraId="685D27E7" w14:textId="0E14C08B" w:rsidR="003D20D9" w:rsidRPr="003D20D9" w:rsidRDefault="00520F60" w:rsidP="00B9039B">
            <w:pPr>
              <w:pStyle w:val="Pardeliste"/>
              <w:numPr>
                <w:ilvl w:val="2"/>
                <w:numId w:val="4"/>
              </w:numPr>
              <w:spacing w:before="100" w:beforeAutospacing="1" w:after="100" w:afterAutospacing="1"/>
              <w:jc w:val="both"/>
              <w:rPr>
                <w:rFonts w:cs="Times New Roman"/>
                <w:b/>
                <w:lang w:eastAsia="fr-FR"/>
              </w:rPr>
            </w:pPr>
            <w:r w:rsidRPr="003D20D9">
              <w:rPr>
                <w:rFonts w:cs="Times New Roman"/>
                <w:b/>
                <w:lang w:eastAsia="fr-FR"/>
              </w:rPr>
              <w:t xml:space="preserve">5213 Autres </w:t>
            </w:r>
            <w:r w:rsidR="005D0889" w:rsidRPr="003D20D9">
              <w:rPr>
                <w:rFonts w:cs="Times New Roman"/>
                <w:b/>
                <w:lang w:eastAsia="fr-FR"/>
              </w:rPr>
              <w:t>impôts</w:t>
            </w:r>
            <w:r w:rsidRPr="003D20D9">
              <w:rPr>
                <w:rFonts w:cs="Times New Roman"/>
                <w:b/>
                <w:lang w:eastAsia="fr-FR"/>
              </w:rPr>
              <w:t xml:space="preserve"> </w:t>
            </w:r>
            <w:r w:rsidR="005D0889" w:rsidRPr="003D20D9">
              <w:rPr>
                <w:rFonts w:cs="Times New Roman"/>
                <w:b/>
                <w:lang w:eastAsia="fr-FR"/>
              </w:rPr>
              <w:t>périodiques</w:t>
            </w:r>
            <w:r w:rsidRPr="003D20D9">
              <w:rPr>
                <w:rFonts w:cs="Times New Roman"/>
                <w:b/>
                <w:lang w:eastAsia="fr-FR"/>
              </w:rPr>
              <w:t xml:space="preserve"> </w:t>
            </w:r>
          </w:p>
          <w:p w14:paraId="3706582D" w14:textId="13F1BA11" w:rsidR="00520F60" w:rsidRPr="003D20D9" w:rsidRDefault="00520F60" w:rsidP="00B9039B">
            <w:pPr>
              <w:pStyle w:val="Pardeliste"/>
              <w:numPr>
                <w:ilvl w:val="1"/>
                <w:numId w:val="4"/>
              </w:numPr>
              <w:spacing w:before="100" w:beforeAutospacing="1" w:after="100" w:afterAutospacing="1"/>
              <w:jc w:val="both"/>
              <w:rPr>
                <w:rFonts w:cs="Times New Roman"/>
                <w:b/>
                <w:lang w:eastAsia="fr-FR"/>
              </w:rPr>
            </w:pPr>
            <w:r w:rsidRPr="003D20D9">
              <w:rPr>
                <w:rFonts w:cs="Times New Roman"/>
                <w:b/>
                <w:lang w:eastAsia="fr-FR"/>
              </w:rPr>
              <w:t xml:space="preserve">5220 </w:t>
            </w:r>
            <w:r w:rsidR="005D0889" w:rsidRPr="003D20D9">
              <w:rPr>
                <w:rFonts w:cs="Times New Roman"/>
                <w:b/>
                <w:lang w:eastAsia="fr-FR"/>
              </w:rPr>
              <w:t>Impôts</w:t>
            </w:r>
            <w:r w:rsidRPr="003D20D9">
              <w:rPr>
                <w:rFonts w:cs="Times New Roman"/>
                <w:b/>
                <w:lang w:eastAsia="fr-FR"/>
              </w:rPr>
              <w:t xml:space="preserve"> non </w:t>
            </w:r>
            <w:r w:rsidR="005D0889" w:rsidRPr="003D20D9">
              <w:rPr>
                <w:rFonts w:cs="Times New Roman"/>
                <w:b/>
                <w:lang w:eastAsia="fr-FR"/>
              </w:rPr>
              <w:t>périodiques</w:t>
            </w:r>
            <w:r w:rsidRPr="003D20D9">
              <w:rPr>
                <w:rFonts w:cs="Times New Roman"/>
                <w:b/>
                <w:lang w:eastAsia="fr-FR"/>
              </w:rPr>
              <w:t xml:space="preserve"> </w:t>
            </w:r>
          </w:p>
          <w:p w14:paraId="61489A8D" w14:textId="24FA5F20" w:rsidR="00520F60" w:rsidRPr="003D20D9" w:rsidRDefault="00520F60" w:rsidP="00B9039B">
            <w:pPr>
              <w:pStyle w:val="Pardeliste"/>
              <w:numPr>
                <w:ilvl w:val="0"/>
                <w:numId w:val="4"/>
              </w:numPr>
              <w:spacing w:after="120" w:line="276" w:lineRule="auto"/>
              <w:jc w:val="both"/>
              <w:rPr>
                <w:rFonts w:cs="Times New Roman"/>
                <w:lang w:eastAsia="fr-FR"/>
              </w:rPr>
            </w:pPr>
            <w:r w:rsidRPr="003D20D9">
              <w:rPr>
                <w:rFonts w:cs="Times New Roman"/>
                <w:lang w:eastAsia="fr-FR"/>
              </w:rPr>
              <w:t xml:space="preserve">5300 Non </w:t>
            </w:r>
            <w:proofErr w:type="spellStart"/>
            <w:r w:rsidRPr="003D20D9">
              <w:rPr>
                <w:rFonts w:cs="Times New Roman"/>
                <w:lang w:eastAsia="fr-FR"/>
              </w:rPr>
              <w:t>ventilables</w:t>
            </w:r>
            <w:proofErr w:type="spellEnd"/>
            <w:r w:rsidRPr="003D20D9">
              <w:rPr>
                <w:rFonts w:cs="Times New Roman"/>
                <w:lang w:eastAsia="fr-FR"/>
              </w:rPr>
              <w:t xml:space="preserve"> entre les rubriques 5100 et 5200 </w:t>
            </w:r>
          </w:p>
          <w:p w14:paraId="4019F5BB" w14:textId="45AA2EDA" w:rsidR="00C049B5" w:rsidRPr="00CD6A97" w:rsidRDefault="00C049B5" w:rsidP="00B9039B">
            <w:pPr>
              <w:pStyle w:val="Normalweb"/>
              <w:shd w:val="clear" w:color="auto" w:fill="FFFFFF"/>
              <w:jc w:val="both"/>
              <w:rPr>
                <w:rFonts w:asciiTheme="minorHAnsi" w:hAnsiTheme="minorHAnsi"/>
                <w:i/>
              </w:rPr>
            </w:pPr>
          </w:p>
        </w:tc>
        <w:tc>
          <w:tcPr>
            <w:tcW w:w="0" w:type="auto"/>
            <w:tcBorders>
              <w:top w:val="single" w:sz="8" w:space="0" w:color="D3D3D3"/>
              <w:left w:val="single" w:sz="8" w:space="0" w:color="D3D3D3"/>
              <w:bottom w:val="single" w:sz="8" w:space="0" w:color="D3D3D3"/>
              <w:right w:val="single" w:sz="8" w:space="0" w:color="D3D3D3"/>
            </w:tcBorders>
            <w:tcMar>
              <w:top w:w="200" w:type="nil"/>
              <w:left w:w="200" w:type="nil"/>
              <w:bottom w:w="200" w:type="nil"/>
              <w:right w:w="200" w:type="nil"/>
            </w:tcMar>
            <w:vAlign w:val="center"/>
          </w:tcPr>
          <w:p w14:paraId="1CE653A1" w14:textId="4C780DBC" w:rsidR="003D4163" w:rsidRPr="00982845" w:rsidRDefault="005D0889" w:rsidP="00B9039B">
            <w:pPr>
              <w:spacing w:after="120" w:line="276" w:lineRule="auto"/>
              <w:jc w:val="both"/>
              <w:rPr>
                <w:rFonts w:cs="Times New Roman"/>
                <w:b/>
                <w:lang w:eastAsia="fr-FR"/>
              </w:rPr>
            </w:pPr>
            <w:r w:rsidRPr="00982845">
              <w:rPr>
                <w:rFonts w:cs="Times New Roman"/>
                <w:b/>
                <w:lang w:eastAsia="fr-FR"/>
              </w:rPr>
              <w:t>CP : Dépense</w:t>
            </w:r>
            <w:r w:rsidR="00520F60" w:rsidRPr="00982845">
              <w:rPr>
                <w:rFonts w:cs="Times New Roman"/>
                <w:b/>
                <w:lang w:eastAsia="fr-FR"/>
              </w:rPr>
              <w:t xml:space="preserve"> de consommation finale des </w:t>
            </w:r>
            <w:r w:rsidRPr="00982845">
              <w:rPr>
                <w:rFonts w:cs="Times New Roman"/>
                <w:b/>
                <w:lang w:eastAsia="fr-FR"/>
              </w:rPr>
              <w:t>ménages (</w:t>
            </w:r>
            <w:r w:rsidR="00034390" w:rsidRPr="00982845">
              <w:rPr>
                <w:rFonts w:cs="Times New Roman"/>
                <w:b/>
                <w:lang w:eastAsia="fr-FR"/>
              </w:rPr>
              <w:t xml:space="preserve">P31S14) </w:t>
            </w:r>
            <w:r w:rsidR="00520F60" w:rsidRPr="00982845">
              <w:rPr>
                <w:rFonts w:cs="Times New Roman"/>
                <w:b/>
                <w:lang w:eastAsia="fr-FR"/>
              </w:rPr>
              <w:t xml:space="preserve"> </w:t>
            </w:r>
            <w:r w:rsidR="003D4163" w:rsidRPr="00982845">
              <w:rPr>
                <w:rFonts w:cs="Times New Roman"/>
                <w:b/>
                <w:lang w:eastAsia="fr-FR"/>
              </w:rPr>
              <w:t xml:space="preserve"> </w:t>
            </w:r>
          </w:p>
          <w:p w14:paraId="1B136419" w14:textId="6DD2D34A" w:rsidR="003D20D9" w:rsidRPr="00982845" w:rsidRDefault="005D0889" w:rsidP="00B9039B">
            <w:pPr>
              <w:spacing w:after="120" w:line="276" w:lineRule="auto"/>
              <w:jc w:val="both"/>
              <w:rPr>
                <w:rFonts w:cs="Arial"/>
                <w:b/>
                <w:color w:val="535353"/>
              </w:rPr>
            </w:pPr>
            <w:r w:rsidRPr="00982845">
              <w:rPr>
                <w:b/>
              </w:rPr>
              <w:t>+ CG :</w:t>
            </w:r>
            <w:r w:rsidRPr="00982845">
              <w:rPr>
                <w:rFonts w:cs="Times New Roman"/>
                <w:b/>
                <w:lang w:eastAsia="fr-FR"/>
              </w:rPr>
              <w:t xml:space="preserve"> Dépense</w:t>
            </w:r>
            <w:r w:rsidR="003D20D9" w:rsidRPr="00982845">
              <w:rPr>
                <w:rFonts w:cs="Times New Roman"/>
                <w:b/>
                <w:lang w:eastAsia="fr-FR"/>
              </w:rPr>
              <w:t xml:space="preserve"> de consommation finale des administrations publiques (P3S13)</w:t>
            </w:r>
          </w:p>
          <w:p w14:paraId="3EF4CA98" w14:textId="0D2BF7C2" w:rsidR="003D20D9" w:rsidRPr="00CD6A97" w:rsidRDefault="005D0889" w:rsidP="00B9039B">
            <w:pPr>
              <w:spacing w:after="120" w:line="276" w:lineRule="auto"/>
              <w:jc w:val="both"/>
            </w:pPr>
            <w:r w:rsidRPr="00982845">
              <w:rPr>
                <w:rFonts w:cs="Times New Roman"/>
                <w:b/>
                <w:lang w:eastAsia="fr-FR"/>
              </w:rPr>
              <w:t xml:space="preserve">– </w:t>
            </w:r>
            <w:r w:rsidR="003D20D9" w:rsidRPr="00982845">
              <w:rPr>
                <w:rFonts w:cs="Times New Roman"/>
                <w:b/>
                <w:lang w:eastAsia="fr-FR"/>
              </w:rPr>
              <w:t>C</w:t>
            </w:r>
            <w:r w:rsidRPr="00982845">
              <w:rPr>
                <w:rFonts w:cs="Times New Roman"/>
                <w:b/>
                <w:lang w:eastAsia="fr-FR"/>
              </w:rPr>
              <w:t>GW :</w:t>
            </w:r>
            <w:r w:rsidR="003D20D9" w:rsidRPr="00982845">
              <w:rPr>
                <w:rFonts w:cs="Times New Roman"/>
                <w:b/>
                <w:lang w:eastAsia="fr-FR"/>
              </w:rPr>
              <w:t xml:space="preserve"> Rémunération des salariés, à payer par les administrations publiques (GD1P)</w:t>
            </w:r>
          </w:p>
        </w:tc>
      </w:tr>
    </w:tbl>
    <w:p w14:paraId="455C0377" w14:textId="77777777" w:rsidR="00982845" w:rsidRPr="00982845" w:rsidRDefault="00982845" w:rsidP="00982845">
      <w:pPr>
        <w:spacing w:line="276" w:lineRule="auto"/>
        <w:jc w:val="both"/>
        <w:rPr>
          <w:i/>
        </w:rPr>
      </w:pPr>
      <w:r w:rsidRPr="00982845">
        <w:rPr>
          <w:i/>
        </w:rPr>
        <w:t xml:space="preserve">Note : En gras dans le tableau, les variables utilisées dans nos calculs de taux implicite. </w:t>
      </w:r>
    </w:p>
    <w:p w14:paraId="0DA176E1" w14:textId="75FDCA30" w:rsidR="00982845" w:rsidRPr="00982845" w:rsidRDefault="00982845" w:rsidP="00982845">
      <w:pPr>
        <w:spacing w:after="120" w:line="276" w:lineRule="auto"/>
        <w:jc w:val="both"/>
        <w:rPr>
          <w:i/>
        </w:rPr>
      </w:pPr>
      <w:r w:rsidRPr="00982845">
        <w:rPr>
          <w:i/>
        </w:rPr>
        <w:t xml:space="preserve">Source : stat.oecd.org  </w:t>
      </w:r>
    </w:p>
    <w:p w14:paraId="73BB82D8" w14:textId="2A3266E2" w:rsidR="00982845" w:rsidRPr="00CD6A97" w:rsidRDefault="00982845" w:rsidP="00AA193A">
      <w:pPr>
        <w:spacing w:after="120" w:line="276" w:lineRule="auto"/>
        <w:jc w:val="both"/>
      </w:pPr>
    </w:p>
    <w:p w14:paraId="2222753A" w14:textId="77777777" w:rsidR="00557020" w:rsidRPr="00CD6A97" w:rsidRDefault="00557020" w:rsidP="00B9039B">
      <w:pPr>
        <w:widowControl w:val="0"/>
        <w:autoSpaceDE w:val="0"/>
        <w:autoSpaceDN w:val="0"/>
        <w:adjustRightInd w:val="0"/>
        <w:spacing w:after="120" w:line="276" w:lineRule="auto"/>
        <w:jc w:val="both"/>
      </w:pPr>
    </w:p>
    <w:p w14:paraId="52B4CAEE" w14:textId="604A0D8E" w:rsidR="00E255C1" w:rsidRPr="00CD6A97" w:rsidRDefault="003D4163" w:rsidP="002B01DA">
      <w:pPr>
        <w:widowControl w:val="0"/>
        <w:autoSpaceDE w:val="0"/>
        <w:autoSpaceDN w:val="0"/>
        <w:adjustRightInd w:val="0"/>
        <w:spacing w:after="120" w:line="276" w:lineRule="auto"/>
        <w:jc w:val="both"/>
        <w:outlineLvl w:val="0"/>
        <w:rPr>
          <w:rFonts w:cs="Arial"/>
          <w:b/>
          <w:color w:val="1A1A1A"/>
        </w:rPr>
      </w:pPr>
      <w:r w:rsidRPr="00CD6A97">
        <w:rPr>
          <w:rFonts w:cs="Arial"/>
          <w:b/>
          <w:color w:val="1A1A1A"/>
        </w:rPr>
        <w:t>Calcul des propensions à consommer</w:t>
      </w:r>
    </w:p>
    <w:p w14:paraId="2C393B0D" w14:textId="77777777" w:rsidR="00CA4D75" w:rsidRPr="00CD6A97" w:rsidRDefault="001A0DF3"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Les données de consommation et de revenu des ménages sont issues d’Eurostat. Les dépenses de consommation des ménages sont basées sur les enquêtes de consommation des ménages (HBS), tandis que les revenus des ménages sont issus des enquêtes d</w:t>
      </w:r>
      <w:r w:rsidR="00D63613" w:rsidRPr="00CD6A97">
        <w:rPr>
          <w:rFonts w:cs="Menlo Regular"/>
          <w:color w:val="000000"/>
        </w:rPr>
        <w:t>e revenu des ménages (EU-SILC).</w:t>
      </w:r>
    </w:p>
    <w:p w14:paraId="67E827CE" w14:textId="77777777" w:rsidR="00CA4D75" w:rsidRPr="00CD6A97" w:rsidRDefault="00CA4D75" w:rsidP="002B01DA">
      <w:pPr>
        <w:widowControl w:val="0"/>
        <w:autoSpaceDE w:val="0"/>
        <w:autoSpaceDN w:val="0"/>
        <w:adjustRightInd w:val="0"/>
        <w:spacing w:after="120" w:line="276" w:lineRule="auto"/>
        <w:jc w:val="both"/>
        <w:outlineLvl w:val="0"/>
        <w:rPr>
          <w:rFonts w:cs="Menlo Regular"/>
          <w:color w:val="000000"/>
          <w:u w:val="single"/>
        </w:rPr>
      </w:pPr>
      <w:r w:rsidRPr="00CD6A97">
        <w:rPr>
          <w:rFonts w:cs="Menlo Regular"/>
          <w:color w:val="000000"/>
          <w:u w:val="single"/>
        </w:rPr>
        <w:t>Note de bas de page :</w:t>
      </w:r>
    </w:p>
    <w:p w14:paraId="230D8ABB" w14:textId="4C2AB659" w:rsidR="00D63613" w:rsidRPr="00CD6A97" w:rsidRDefault="00CA4D75" w:rsidP="00B9039B">
      <w:pPr>
        <w:pStyle w:val="Pardeliste"/>
        <w:widowControl w:val="0"/>
        <w:numPr>
          <w:ilvl w:val="0"/>
          <w:numId w:val="4"/>
        </w:numPr>
        <w:autoSpaceDE w:val="0"/>
        <w:autoSpaceDN w:val="0"/>
        <w:adjustRightInd w:val="0"/>
        <w:spacing w:after="120" w:line="276" w:lineRule="auto"/>
        <w:jc w:val="both"/>
        <w:rPr>
          <w:rFonts w:cs="Menlo Regular"/>
          <w:color w:val="000000"/>
        </w:rPr>
      </w:pPr>
      <w:r w:rsidRPr="00CD6A97">
        <w:rPr>
          <w:rFonts w:cs="Menlo Regular"/>
          <w:color w:val="000000"/>
        </w:rPr>
        <w:t>L’échantillon Eurostat ne recoupe pas exactement notre échantillon LIS. Ainsi, c</w:t>
      </w:r>
      <w:r w:rsidR="00D63613" w:rsidRPr="00CD6A97">
        <w:rPr>
          <w:rFonts w:cs="Menlo Regular"/>
          <w:color w:val="000000"/>
        </w:rPr>
        <w:t xml:space="preserve">ertains pays présents dans notre échantillon LIS sont absents de la base Eurostat : USA, AU, SW, </w:t>
      </w:r>
      <w:proofErr w:type="gramStart"/>
      <w:r w:rsidR="00D63613" w:rsidRPr="00CD6A97">
        <w:rPr>
          <w:rFonts w:cs="Menlo Regular"/>
          <w:color w:val="000000"/>
        </w:rPr>
        <w:t>CA</w:t>
      </w:r>
      <w:proofErr w:type="gramEnd"/>
      <w:r w:rsidR="00D63613" w:rsidRPr="00CD6A97">
        <w:rPr>
          <w:rFonts w:cs="Menlo Regular"/>
          <w:color w:val="000000"/>
        </w:rPr>
        <w:t>.</w:t>
      </w:r>
      <w:r w:rsidRPr="00CD6A97">
        <w:rPr>
          <w:rFonts w:cs="Menlo Regular"/>
          <w:color w:val="000000"/>
        </w:rPr>
        <w:t xml:space="preserve"> </w:t>
      </w:r>
    </w:p>
    <w:p w14:paraId="5646A16B" w14:textId="734585F6" w:rsidR="001A0DF3" w:rsidRPr="00CD6A97" w:rsidRDefault="001A0DF3"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 xml:space="preserve">La consommation est fournie par quantile, tandis que les revenus des ménages sont fournis par décile. Nous calculons la propension à consommer </w:t>
      </w:r>
      <w:r w:rsidR="00AA193A">
        <w:rPr>
          <w:rFonts w:cs="Menlo Regular"/>
          <w:color w:val="000000"/>
        </w:rPr>
        <w:t xml:space="preserve">des ménages privés </w:t>
      </w:r>
      <w:r w:rsidRPr="00CD6A97">
        <w:rPr>
          <w:rFonts w:cs="Menlo Regular"/>
          <w:color w:val="000000"/>
        </w:rPr>
        <w:t>par quantile au sein de chaque pays-année</w:t>
      </w:r>
      <w:r w:rsidR="004538B2" w:rsidRPr="00CD6A97">
        <w:rPr>
          <w:rFonts w:cs="Menlo Regular"/>
          <w:color w:val="000000"/>
        </w:rPr>
        <w:t xml:space="preserve"> de la base Eurostat, à l’aide de la </w:t>
      </w:r>
      <w:r w:rsidR="004538B2" w:rsidRPr="00CD6A97">
        <w:rPr>
          <w:rFonts w:cs="Menlo Regular"/>
          <w:b/>
          <w:color w:val="000000"/>
        </w:rPr>
        <w:t>formule suivante </w:t>
      </w:r>
      <w:r w:rsidR="004538B2" w:rsidRPr="00CD6A97">
        <w:rPr>
          <w:rFonts w:cs="Menlo Regular"/>
          <w:color w:val="000000"/>
        </w:rPr>
        <w:t>:</w:t>
      </w:r>
    </w:p>
    <w:p w14:paraId="421E3B1E" w14:textId="317D46DA" w:rsidR="004538B2" w:rsidRPr="00CD6A97" w:rsidRDefault="004538B2"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Propension à consommer par quantile = (consommation moyenne du quantile) / (revenu médian du quantile)</w:t>
      </w:r>
    </w:p>
    <w:p w14:paraId="3EA9249E" w14:textId="08137DE8" w:rsidR="001A0DF3" w:rsidRDefault="00D63613"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N</w:t>
      </w:r>
      <w:r w:rsidR="004538B2" w:rsidRPr="00CD6A97">
        <w:rPr>
          <w:rFonts w:cs="Menlo Regular"/>
          <w:color w:val="000000"/>
        </w:rPr>
        <w:t>ous ne disposons pas du revenu moyen du quantile, mais seulement des revenus minimum et maximum de chaque décile. Ainsi, nous utilisons le revenu maximum du décile intermédiaire afin d’obtenir le revenu médian du quantile (ex : le plafond de revenu du décile 3 est utilisé comme revenu médian du quantile 2).</w:t>
      </w:r>
    </w:p>
    <w:p w14:paraId="6ED1D6B7" w14:textId="77777777" w:rsidR="00AB7A9A" w:rsidRPr="00CD6A97" w:rsidRDefault="00AB7A9A" w:rsidP="00B9039B">
      <w:pPr>
        <w:widowControl w:val="0"/>
        <w:autoSpaceDE w:val="0"/>
        <w:autoSpaceDN w:val="0"/>
        <w:adjustRightInd w:val="0"/>
        <w:spacing w:after="120" w:line="276" w:lineRule="auto"/>
        <w:jc w:val="both"/>
        <w:rPr>
          <w:rFonts w:cs="Menlo Regular"/>
          <w:color w:val="000000"/>
        </w:rPr>
      </w:pPr>
    </w:p>
    <w:p w14:paraId="79EEA13A" w14:textId="77777777" w:rsidR="001A0DF3" w:rsidRPr="00CD6A97" w:rsidRDefault="001A0DF3" w:rsidP="002B01DA">
      <w:pPr>
        <w:widowControl w:val="0"/>
        <w:autoSpaceDE w:val="0"/>
        <w:autoSpaceDN w:val="0"/>
        <w:adjustRightInd w:val="0"/>
        <w:spacing w:after="120" w:line="276" w:lineRule="auto"/>
        <w:jc w:val="both"/>
        <w:outlineLvl w:val="0"/>
        <w:rPr>
          <w:rFonts w:cs="Menlo Regular"/>
          <w:b/>
          <w:color w:val="000000"/>
        </w:rPr>
      </w:pPr>
      <w:r w:rsidRPr="00CD6A97">
        <w:rPr>
          <w:rFonts w:cs="Menlo Regular"/>
          <w:b/>
          <w:color w:val="000000"/>
        </w:rPr>
        <w:t>Calibrage des données microéconomiques</w:t>
      </w:r>
    </w:p>
    <w:p w14:paraId="51EDFB6A" w14:textId="77777777" w:rsidR="00AB7A9A" w:rsidRDefault="001A0DF3"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 xml:space="preserve">Les </w:t>
      </w:r>
      <w:r w:rsidR="00B66F72" w:rsidRPr="00CD6A97">
        <w:rPr>
          <w:rFonts w:cs="Menlo Regular"/>
          <w:color w:val="000000"/>
        </w:rPr>
        <w:t xml:space="preserve">données issues </w:t>
      </w:r>
      <w:r w:rsidR="00B66F72" w:rsidRPr="00AB7A9A">
        <w:rPr>
          <w:rFonts w:cs="Menlo Regular"/>
          <w:color w:val="000000"/>
        </w:rPr>
        <w:t>des enquêtes sur les revenus des ménages et des enquêtes sur les budgets des ménages ne sont pas directement comparables</w:t>
      </w:r>
      <w:r w:rsidR="00AB7A9A" w:rsidRPr="00AB7A9A">
        <w:rPr>
          <w:rFonts w:cs="Menlo Regular"/>
          <w:color w:val="000000"/>
        </w:rPr>
        <w:t>, ce qui conduit à surestimer la propension moyenne à consommer</w:t>
      </w:r>
      <w:r w:rsidR="00D61749" w:rsidRPr="00AB7A9A">
        <w:rPr>
          <w:rFonts w:cs="Menlo Regular"/>
          <w:color w:val="000000"/>
        </w:rPr>
        <w:t xml:space="preserve"> (Eurostat « </w:t>
      </w:r>
      <w:proofErr w:type="spellStart"/>
      <w:r w:rsidR="00D61749" w:rsidRPr="00AB7A9A">
        <w:rPr>
          <w:rFonts w:cs="Menlo Regular"/>
          <w:color w:val="000000"/>
        </w:rPr>
        <w:t>Statistical</w:t>
      </w:r>
      <w:proofErr w:type="spellEnd"/>
      <w:r w:rsidR="00D61749" w:rsidRPr="00AB7A9A">
        <w:rPr>
          <w:rFonts w:cs="Menlo Regular"/>
          <w:color w:val="000000"/>
        </w:rPr>
        <w:t xml:space="preserve"> </w:t>
      </w:r>
      <w:proofErr w:type="spellStart"/>
      <w:r w:rsidR="00D61749" w:rsidRPr="00AB7A9A">
        <w:rPr>
          <w:rFonts w:cs="Menlo Regular"/>
          <w:color w:val="000000"/>
        </w:rPr>
        <w:t>matching</w:t>
      </w:r>
      <w:proofErr w:type="spellEnd"/>
      <w:r w:rsidR="00D61749" w:rsidRPr="00AB7A9A">
        <w:rPr>
          <w:rFonts w:cs="Menlo Regular"/>
          <w:color w:val="000000"/>
        </w:rPr>
        <w:t xml:space="preserve"> of EU-SILC and the </w:t>
      </w:r>
      <w:proofErr w:type="spellStart"/>
      <w:r w:rsidR="00D61749" w:rsidRPr="00AB7A9A">
        <w:rPr>
          <w:rFonts w:cs="Menlo Regular"/>
          <w:color w:val="000000"/>
        </w:rPr>
        <w:t>Household</w:t>
      </w:r>
      <w:proofErr w:type="spellEnd"/>
      <w:r w:rsidR="00D61749" w:rsidRPr="00AB7A9A">
        <w:rPr>
          <w:rFonts w:cs="Menlo Regular"/>
          <w:color w:val="000000"/>
        </w:rPr>
        <w:t xml:space="preserve"> Budget Survey to compare </w:t>
      </w:r>
      <w:proofErr w:type="spellStart"/>
      <w:r w:rsidR="00D61749" w:rsidRPr="00AB7A9A">
        <w:rPr>
          <w:rFonts w:cs="Menlo Regular"/>
          <w:color w:val="000000"/>
        </w:rPr>
        <w:t>poverty</w:t>
      </w:r>
      <w:proofErr w:type="spellEnd"/>
      <w:r w:rsidR="00D61749" w:rsidRPr="00AB7A9A">
        <w:rPr>
          <w:rFonts w:cs="Menlo Regular"/>
          <w:color w:val="000000"/>
        </w:rPr>
        <w:t xml:space="preserve"> </w:t>
      </w:r>
      <w:proofErr w:type="spellStart"/>
      <w:r w:rsidR="00D61749" w:rsidRPr="00AB7A9A">
        <w:rPr>
          <w:rFonts w:cs="Menlo Regular"/>
          <w:color w:val="000000"/>
        </w:rPr>
        <w:t>estimates</w:t>
      </w:r>
      <w:proofErr w:type="spellEnd"/>
      <w:r w:rsidR="00D61749" w:rsidRPr="00AB7A9A">
        <w:rPr>
          <w:rFonts w:cs="Menlo Regular"/>
          <w:color w:val="000000"/>
        </w:rPr>
        <w:t xml:space="preserve"> </w:t>
      </w:r>
      <w:proofErr w:type="spellStart"/>
      <w:r w:rsidR="00D61749" w:rsidRPr="00AB7A9A">
        <w:rPr>
          <w:rFonts w:cs="Menlo Regular"/>
          <w:color w:val="000000"/>
        </w:rPr>
        <w:t>using</w:t>
      </w:r>
      <w:proofErr w:type="spellEnd"/>
      <w:r w:rsidR="00D61749" w:rsidRPr="00AB7A9A">
        <w:rPr>
          <w:rFonts w:cs="Menlo Regular"/>
          <w:color w:val="000000"/>
        </w:rPr>
        <w:t xml:space="preserve"> </w:t>
      </w:r>
      <w:proofErr w:type="spellStart"/>
      <w:r w:rsidR="00D61749" w:rsidRPr="00AB7A9A">
        <w:rPr>
          <w:rFonts w:cs="Menlo Regular"/>
          <w:color w:val="000000"/>
        </w:rPr>
        <w:t>income</w:t>
      </w:r>
      <w:proofErr w:type="spellEnd"/>
      <w:r w:rsidR="00D61749" w:rsidRPr="00AB7A9A">
        <w:rPr>
          <w:rFonts w:cs="Menlo Regular"/>
          <w:color w:val="000000"/>
        </w:rPr>
        <w:t xml:space="preserve">, </w:t>
      </w:r>
      <w:proofErr w:type="spellStart"/>
      <w:r w:rsidR="00D61749" w:rsidRPr="00AB7A9A">
        <w:rPr>
          <w:rFonts w:cs="Menlo Regular"/>
          <w:color w:val="000000"/>
        </w:rPr>
        <w:t>expenditures</w:t>
      </w:r>
      <w:proofErr w:type="spellEnd"/>
      <w:r w:rsidR="00D61749" w:rsidRPr="00AB7A9A">
        <w:rPr>
          <w:rFonts w:cs="Menlo Regular"/>
          <w:color w:val="000000"/>
        </w:rPr>
        <w:t xml:space="preserve"> and </w:t>
      </w:r>
      <w:proofErr w:type="spellStart"/>
      <w:r w:rsidR="00D61749" w:rsidRPr="00AB7A9A">
        <w:rPr>
          <w:rFonts w:cs="Menlo Regular"/>
          <w:color w:val="000000"/>
        </w:rPr>
        <w:t>material</w:t>
      </w:r>
      <w:proofErr w:type="spellEnd"/>
      <w:r w:rsidR="00D61749" w:rsidRPr="00AB7A9A">
        <w:rPr>
          <w:rFonts w:cs="Menlo Regular"/>
          <w:color w:val="000000"/>
        </w:rPr>
        <w:t xml:space="preserve"> </w:t>
      </w:r>
      <w:proofErr w:type="spellStart"/>
      <w:r w:rsidR="00D61749" w:rsidRPr="00AB7A9A">
        <w:rPr>
          <w:rFonts w:cs="Menlo Regular"/>
          <w:color w:val="000000"/>
        </w:rPr>
        <w:t>deprivation</w:t>
      </w:r>
      <w:proofErr w:type="spellEnd"/>
      <w:r w:rsidR="00D61749" w:rsidRPr="00AB7A9A">
        <w:rPr>
          <w:rFonts w:cs="Menlo Regular"/>
          <w:color w:val="000000"/>
        </w:rPr>
        <w:t> », 2013)</w:t>
      </w:r>
      <w:r w:rsidR="00B66F72" w:rsidRPr="00AB7A9A">
        <w:rPr>
          <w:rFonts w:cs="Menlo Regular"/>
          <w:color w:val="000000"/>
        </w:rPr>
        <w:t>. Une correction</w:t>
      </w:r>
      <w:r w:rsidR="00B66F72" w:rsidRPr="00CD6A97">
        <w:rPr>
          <w:rFonts w:cs="Menlo Regular"/>
          <w:color w:val="000000"/>
        </w:rPr>
        <w:t xml:space="preserve"> doit donc être opérée afin de mettre en rela</w:t>
      </w:r>
      <w:r w:rsidR="00AB7A9A">
        <w:rPr>
          <w:rFonts w:cs="Menlo Regular"/>
          <w:color w:val="000000"/>
        </w:rPr>
        <w:t>tion les deux bases de données.</w:t>
      </w:r>
    </w:p>
    <w:p w14:paraId="5DE9B431" w14:textId="05F44BFB" w:rsidR="003D4163" w:rsidRPr="00CD6A97" w:rsidRDefault="00B66F72"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Certains articles appliquent une méthode d’imputation s’appuyant sur les courbes d’Engel (</w:t>
      </w:r>
      <w:r w:rsidRPr="00CD6A97">
        <w:rPr>
          <w:rFonts w:cs="Menlo Regular"/>
          <w:color w:val="000000"/>
          <w:highlight w:val="yellow"/>
        </w:rPr>
        <w:t>REFERENCE</w:t>
      </w:r>
      <w:r w:rsidRPr="00CD6A97">
        <w:rPr>
          <w:rFonts w:cs="Menlo Regular"/>
          <w:color w:val="000000"/>
        </w:rPr>
        <w:t>). Dans la présente étude, notre méthode est un peu différente.</w:t>
      </w:r>
      <w:r w:rsidR="003D4163" w:rsidRPr="00CD6A97">
        <w:rPr>
          <w:rFonts w:cs="Menlo Regular"/>
          <w:color w:val="000000"/>
        </w:rPr>
        <w:t xml:space="preserve"> </w:t>
      </w:r>
      <w:r w:rsidRPr="00CD6A97">
        <w:rPr>
          <w:rFonts w:cs="Menlo Regular"/>
          <w:color w:val="000000"/>
        </w:rPr>
        <w:t xml:space="preserve">En effet, une alternative aux courbes d’Engel est d’appliquer une correction homothétique ex post. Nous remplaçons ainsi la propension moyenne à consommer calculée sur la </w:t>
      </w:r>
      <w:r w:rsidR="00AB7A9A">
        <w:rPr>
          <w:rFonts w:cs="Menlo Regular"/>
          <w:color w:val="000000"/>
        </w:rPr>
        <w:t>base des données d’enquête Euros</w:t>
      </w:r>
      <w:r w:rsidRPr="00CD6A97">
        <w:rPr>
          <w:rFonts w:cs="Menlo Regular"/>
          <w:color w:val="000000"/>
        </w:rPr>
        <w:t xml:space="preserve">tat par la propension moyenne à consommer calculée à partir des comptes nationaux harmonisés de l’OCDE. Ce faisant, nous conservons la </w:t>
      </w:r>
      <w:r w:rsidR="0051272D" w:rsidRPr="00CD6A97">
        <w:rPr>
          <w:rFonts w:cs="Menlo Regular"/>
          <w:color w:val="000000"/>
        </w:rPr>
        <w:t>distribution de la consommation par niveau de revenu</w:t>
      </w:r>
      <w:r w:rsidR="00CC63B2" w:rsidRPr="00CD6A97">
        <w:rPr>
          <w:rFonts w:cs="Menlo Regular"/>
          <w:color w:val="000000"/>
        </w:rPr>
        <w:t xml:space="preserve"> </w:t>
      </w:r>
      <w:r w:rsidR="0051272D" w:rsidRPr="00CD6A97">
        <w:rPr>
          <w:rFonts w:cs="Menlo Regular"/>
          <w:color w:val="000000"/>
        </w:rPr>
        <w:t>issue des données microéconomiques</w:t>
      </w:r>
      <w:r w:rsidR="00CC63B2" w:rsidRPr="00CD6A97">
        <w:rPr>
          <w:rFonts w:cs="Menlo Regular"/>
          <w:color w:val="000000"/>
        </w:rPr>
        <w:t xml:space="preserve"> (</w:t>
      </w:r>
      <w:r w:rsidR="00AB7A9A">
        <w:rPr>
          <w:rFonts w:cs="Menlo Regular"/>
          <w:color w:val="000000"/>
        </w:rPr>
        <w:t xml:space="preserve">variation de la </w:t>
      </w:r>
      <w:r w:rsidR="00CC63B2" w:rsidRPr="00CD6A97">
        <w:rPr>
          <w:rFonts w:cs="Menlo Regular"/>
          <w:color w:val="000000"/>
        </w:rPr>
        <w:t>propension à consommer</w:t>
      </w:r>
      <w:r w:rsidR="001A0DF3" w:rsidRPr="00CD6A97">
        <w:rPr>
          <w:rFonts w:cs="Menlo Regular"/>
          <w:color w:val="000000"/>
        </w:rPr>
        <w:t xml:space="preserve"> par quantile</w:t>
      </w:r>
      <w:r w:rsidR="00CC63B2" w:rsidRPr="00CD6A97">
        <w:rPr>
          <w:rFonts w:cs="Menlo Regular"/>
          <w:color w:val="000000"/>
        </w:rPr>
        <w:t>)</w:t>
      </w:r>
      <w:r w:rsidR="0051272D" w:rsidRPr="00CD6A97">
        <w:rPr>
          <w:rFonts w:cs="Menlo Regular"/>
          <w:color w:val="000000"/>
        </w:rPr>
        <w:t>, mais appliquons une calibration des résultats sur données macroéconomiques</w:t>
      </w:r>
      <w:r w:rsidR="00CC63B2" w:rsidRPr="00CD6A97">
        <w:rPr>
          <w:rFonts w:cs="Menlo Regular"/>
          <w:color w:val="000000"/>
        </w:rPr>
        <w:t xml:space="preserve"> (la moyenne micro correspond</w:t>
      </w:r>
      <w:r w:rsidR="00E16D6C" w:rsidRPr="00CD6A97">
        <w:rPr>
          <w:rFonts w:cs="Menlo Regular"/>
          <w:color w:val="000000"/>
        </w:rPr>
        <w:t xml:space="preserve"> ainsi</w:t>
      </w:r>
      <w:r w:rsidR="00CC63B2" w:rsidRPr="00CD6A97">
        <w:rPr>
          <w:rFonts w:cs="Menlo Regular"/>
          <w:color w:val="000000"/>
        </w:rPr>
        <w:t xml:space="preserve"> à la moyenne macro)</w:t>
      </w:r>
      <w:r w:rsidR="0051272D" w:rsidRPr="00CD6A97">
        <w:rPr>
          <w:rFonts w:cs="Menlo Regular"/>
          <w:color w:val="000000"/>
        </w:rPr>
        <w:t xml:space="preserve">. </w:t>
      </w:r>
    </w:p>
    <w:p w14:paraId="119978E7" w14:textId="77777777" w:rsidR="0051272D" w:rsidRPr="00CD6A97" w:rsidRDefault="0051272D" w:rsidP="002B01DA">
      <w:pPr>
        <w:widowControl w:val="0"/>
        <w:autoSpaceDE w:val="0"/>
        <w:autoSpaceDN w:val="0"/>
        <w:adjustRightInd w:val="0"/>
        <w:spacing w:after="120" w:line="276" w:lineRule="auto"/>
        <w:jc w:val="both"/>
        <w:outlineLvl w:val="0"/>
        <w:rPr>
          <w:rFonts w:cs="Menlo Regular"/>
          <w:b/>
          <w:color w:val="000000"/>
        </w:rPr>
      </w:pPr>
      <w:r w:rsidRPr="00CD6A97">
        <w:rPr>
          <w:rFonts w:cs="Menlo Regular"/>
          <w:b/>
          <w:color w:val="000000"/>
        </w:rPr>
        <w:t>La formule de correction homothétique est la suivante :</w:t>
      </w:r>
    </w:p>
    <w:p w14:paraId="19B50672" w14:textId="0377BF9B" w:rsidR="0051272D" w:rsidRPr="00CD6A97" w:rsidRDefault="0051272D"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Propension</w:t>
      </w:r>
      <w:r w:rsidR="00CC63B2" w:rsidRPr="00CD6A97">
        <w:rPr>
          <w:rFonts w:cs="Menlo Regular"/>
          <w:color w:val="000000"/>
        </w:rPr>
        <w:t xml:space="preserve"> </w:t>
      </w:r>
      <w:r w:rsidRPr="00CD6A97">
        <w:rPr>
          <w:rFonts w:cs="Menlo Regular"/>
          <w:color w:val="000000"/>
        </w:rPr>
        <w:t xml:space="preserve">à consommer </w:t>
      </w:r>
      <w:r w:rsidR="001A0DF3" w:rsidRPr="00CD6A97">
        <w:rPr>
          <w:rFonts w:cs="Menlo Regular"/>
          <w:color w:val="000000"/>
        </w:rPr>
        <w:t xml:space="preserve">par quantile </w:t>
      </w:r>
      <w:r w:rsidRPr="00CD6A97">
        <w:rPr>
          <w:rFonts w:cs="Menlo Regular"/>
          <w:color w:val="000000"/>
        </w:rPr>
        <w:t>ajustée = (propension à consommer</w:t>
      </w:r>
      <w:r w:rsidR="001A0DF3" w:rsidRPr="00CD6A97">
        <w:rPr>
          <w:rFonts w:cs="Menlo Regular"/>
          <w:color w:val="000000"/>
        </w:rPr>
        <w:t xml:space="preserve"> par quantile</w:t>
      </w:r>
      <w:r w:rsidRPr="00CD6A97">
        <w:rPr>
          <w:rFonts w:cs="Menlo Regular"/>
          <w:color w:val="000000"/>
        </w:rPr>
        <w:t>) / (propension moyenne à consommer de l’échantillon) * (propension moyenne à consommer issue des comptes nationaux)</w:t>
      </w:r>
    </w:p>
    <w:p w14:paraId="196C1997" w14:textId="7C9E75FF" w:rsidR="00E16D6C" w:rsidRPr="00CD6A97" w:rsidRDefault="00E16D6C" w:rsidP="00B9039B">
      <w:pPr>
        <w:widowControl w:val="0"/>
        <w:autoSpaceDE w:val="0"/>
        <w:autoSpaceDN w:val="0"/>
        <w:adjustRightInd w:val="0"/>
        <w:spacing w:after="120" w:line="276" w:lineRule="auto"/>
        <w:jc w:val="both"/>
        <w:rPr>
          <w:rFonts w:cs="Menlo Regular"/>
          <w:color w:val="000000"/>
        </w:rPr>
      </w:pPr>
      <w:r w:rsidRPr="00CD6A97">
        <w:rPr>
          <w:rFonts w:cs="Menlo Regular"/>
          <w:color w:val="000000"/>
        </w:rPr>
        <w:t>(Toutes les propensions sont calculées au niveau pays-année.)</w:t>
      </w:r>
    </w:p>
    <w:p w14:paraId="1CFDBFC2" w14:textId="77777777" w:rsidR="004538B2" w:rsidRPr="00CD6A97" w:rsidRDefault="004538B2" w:rsidP="002B01DA">
      <w:pPr>
        <w:pStyle w:val="Normalweb"/>
        <w:shd w:val="clear" w:color="auto" w:fill="FFFFFF"/>
        <w:spacing w:before="0" w:beforeAutospacing="0" w:after="120" w:afterAutospacing="0" w:line="276" w:lineRule="auto"/>
        <w:jc w:val="both"/>
        <w:outlineLvl w:val="0"/>
        <w:rPr>
          <w:rFonts w:asciiTheme="minorHAnsi" w:hAnsiTheme="minorHAnsi" w:cs="Menlo Regular"/>
          <w:color w:val="000000"/>
          <w:u w:val="single"/>
        </w:rPr>
      </w:pPr>
      <w:r w:rsidRPr="00CD6A97">
        <w:rPr>
          <w:rFonts w:asciiTheme="minorHAnsi" w:hAnsiTheme="minorHAnsi" w:cs="Menlo Regular"/>
          <w:color w:val="000000"/>
          <w:u w:val="single"/>
        </w:rPr>
        <w:t>Note de bas de page :</w:t>
      </w:r>
    </w:p>
    <w:p w14:paraId="716A749F" w14:textId="15D23439" w:rsidR="00BF2815" w:rsidRPr="00CD6A97" w:rsidRDefault="00755C52" w:rsidP="00B9039B">
      <w:pPr>
        <w:pStyle w:val="Normalweb"/>
        <w:numPr>
          <w:ilvl w:val="0"/>
          <w:numId w:val="2"/>
        </w:numPr>
        <w:shd w:val="clear" w:color="auto" w:fill="FFFFFF"/>
        <w:spacing w:before="0" w:beforeAutospacing="0" w:after="120" w:afterAutospacing="0" w:line="276" w:lineRule="auto"/>
        <w:jc w:val="both"/>
        <w:rPr>
          <w:rFonts w:asciiTheme="minorHAnsi" w:hAnsiTheme="minorHAnsi" w:cs="Menlo Regular"/>
          <w:color w:val="000000"/>
        </w:rPr>
      </w:pPr>
      <w:r w:rsidRPr="00CD6A97">
        <w:rPr>
          <w:rFonts w:asciiTheme="minorHAnsi" w:hAnsiTheme="minorHAnsi" w:cs="Menlo Regular"/>
          <w:color w:val="000000"/>
        </w:rPr>
        <w:t>Les dépenses de consommation des ménages</w:t>
      </w:r>
      <w:r w:rsidR="00452F86" w:rsidRPr="00CD6A97">
        <w:rPr>
          <w:rFonts w:asciiTheme="minorHAnsi" w:hAnsiTheme="minorHAnsi" w:cs="Menlo Regular"/>
          <w:color w:val="000000"/>
        </w:rPr>
        <w:t xml:space="preserve"> sont issues des enquêtes de consommation des ménages</w:t>
      </w:r>
      <w:r w:rsidRPr="00CD6A97">
        <w:rPr>
          <w:rFonts w:asciiTheme="minorHAnsi" w:hAnsiTheme="minorHAnsi" w:cs="Menlo Regular"/>
          <w:color w:val="000000"/>
        </w:rPr>
        <w:t xml:space="preserve"> (</w:t>
      </w:r>
      <w:r w:rsidRPr="00CD6A97">
        <w:rPr>
          <w:rFonts w:asciiTheme="minorHAnsi" w:hAnsiTheme="minorHAnsi" w:cs="Menlo Regular"/>
          <w:b/>
          <w:color w:val="000000"/>
        </w:rPr>
        <w:t>HBS</w:t>
      </w:r>
      <w:r w:rsidRPr="00CD6A97">
        <w:rPr>
          <w:rFonts w:asciiTheme="minorHAnsi" w:hAnsiTheme="minorHAnsi" w:cs="Menlo Regular"/>
          <w:color w:val="000000"/>
        </w:rPr>
        <w:t>)</w:t>
      </w:r>
      <w:r w:rsidR="00452F86" w:rsidRPr="00CD6A97">
        <w:rPr>
          <w:rFonts w:asciiTheme="minorHAnsi" w:hAnsiTheme="minorHAnsi" w:cs="Menlo Regular"/>
          <w:color w:val="000000"/>
        </w:rPr>
        <w:t xml:space="preserve">, dont l’harmonisation n’est pas totale. Notamment, </w:t>
      </w:r>
      <w:r w:rsidR="00452F86" w:rsidRPr="00CD6A97">
        <w:rPr>
          <w:rFonts w:asciiTheme="minorHAnsi" w:hAnsiTheme="minorHAnsi"/>
        </w:rPr>
        <w:t xml:space="preserve">les loyers sont imputés à la consommation des ménages (y </w:t>
      </w:r>
      <w:r w:rsidR="00452F86" w:rsidRPr="00CD6A97">
        <w:rPr>
          <w:rFonts w:asciiTheme="minorHAnsi" w:hAnsiTheme="minorHAnsi" w:cs="Menlo Regular"/>
          <w:color w:val="000000"/>
        </w:rPr>
        <w:t xml:space="preserve">compris les loyers des propriétaires), sauf pour </w:t>
      </w:r>
      <w:r w:rsidR="00765B18" w:rsidRPr="00CD6A97">
        <w:rPr>
          <w:rFonts w:asciiTheme="minorHAnsi" w:hAnsiTheme="minorHAnsi" w:cs="Menlo Regular"/>
          <w:color w:val="000000"/>
        </w:rPr>
        <w:t>1</w:t>
      </w:r>
      <w:r w:rsidR="00452F86" w:rsidRPr="00CD6A97">
        <w:rPr>
          <w:rFonts w:asciiTheme="minorHAnsi" w:hAnsiTheme="minorHAnsi" w:cs="Menlo Regular"/>
          <w:color w:val="000000"/>
        </w:rPr>
        <w:t xml:space="preserve"> pays de notre échantillon : </w:t>
      </w:r>
      <w:r w:rsidR="00A3213C" w:rsidRPr="00CD6A97">
        <w:rPr>
          <w:rFonts w:asciiTheme="minorHAnsi" w:hAnsiTheme="minorHAnsi" w:cs="Menlo Regular"/>
          <w:color w:val="000000"/>
        </w:rPr>
        <w:t>CZ</w:t>
      </w:r>
      <w:r w:rsidR="00765B18" w:rsidRPr="00CD6A97">
        <w:rPr>
          <w:rFonts w:asciiTheme="minorHAnsi" w:hAnsiTheme="minorHAnsi" w:cs="Menlo Regular"/>
          <w:color w:val="000000"/>
        </w:rPr>
        <w:t xml:space="preserve"> (les loyers sont imputés directement par Eurostat pour UK et IE)</w:t>
      </w:r>
      <w:r w:rsidR="00452F86" w:rsidRPr="00CD6A97">
        <w:rPr>
          <w:rFonts w:asciiTheme="minorHAnsi" w:hAnsiTheme="minorHAnsi" w:cs="Menlo Regular"/>
          <w:color w:val="000000"/>
        </w:rPr>
        <w:t>.</w:t>
      </w:r>
      <w:r w:rsidR="00765B18" w:rsidRPr="00CD6A97">
        <w:rPr>
          <w:rFonts w:asciiTheme="minorHAnsi" w:hAnsiTheme="minorHAnsi" w:cs="Menlo Regular"/>
          <w:color w:val="000000"/>
        </w:rPr>
        <w:t xml:space="preserve"> Les dépenses de santé et d’éducation sont auss</w:t>
      </w:r>
      <w:r w:rsidR="00AB7A9A">
        <w:rPr>
          <w:rFonts w:asciiTheme="minorHAnsi" w:hAnsiTheme="minorHAnsi" w:cs="Menlo Regular"/>
          <w:color w:val="000000"/>
        </w:rPr>
        <w:t>i faiblement harmonisées (</w:t>
      </w:r>
      <w:r w:rsidR="00765B18" w:rsidRPr="00CD6A97">
        <w:rPr>
          <w:rFonts w:asciiTheme="minorHAnsi" w:hAnsiTheme="minorHAnsi" w:cs="Menlo Regular"/>
          <w:color w:val="000000"/>
        </w:rPr>
        <w:t xml:space="preserve">Eurostat, </w:t>
      </w:r>
      <w:proofErr w:type="spellStart"/>
      <w:r w:rsidR="00765B18" w:rsidRPr="00CD6A97">
        <w:rPr>
          <w:rFonts w:asciiTheme="minorHAnsi" w:hAnsiTheme="minorHAnsi" w:cs="Menlo Regular"/>
          <w:color w:val="000000"/>
        </w:rPr>
        <w:t>Household</w:t>
      </w:r>
      <w:proofErr w:type="spellEnd"/>
      <w:r w:rsidR="00765B18" w:rsidRPr="00CD6A97">
        <w:rPr>
          <w:rFonts w:asciiTheme="minorHAnsi" w:hAnsiTheme="minorHAnsi" w:cs="Menlo Regular"/>
          <w:color w:val="000000"/>
        </w:rPr>
        <w:t xml:space="preserve"> Budget </w:t>
      </w:r>
      <w:proofErr w:type="spellStart"/>
      <w:r w:rsidR="00765B18" w:rsidRPr="00CD6A97">
        <w:rPr>
          <w:rFonts w:asciiTheme="minorHAnsi" w:hAnsiTheme="minorHAnsi" w:cs="Menlo Regular"/>
          <w:color w:val="000000"/>
        </w:rPr>
        <w:t>Surveys</w:t>
      </w:r>
      <w:proofErr w:type="spellEnd"/>
      <w:r w:rsidR="00765B18" w:rsidRPr="00CD6A97">
        <w:rPr>
          <w:rFonts w:asciiTheme="minorHAnsi" w:hAnsiTheme="minorHAnsi" w:cs="Menlo Regular"/>
          <w:color w:val="000000"/>
        </w:rPr>
        <w:t xml:space="preserve"> in the </w:t>
      </w:r>
      <w:proofErr w:type="gramStart"/>
      <w:r w:rsidR="00765B18" w:rsidRPr="00CD6A97">
        <w:rPr>
          <w:rFonts w:asciiTheme="minorHAnsi" w:hAnsiTheme="minorHAnsi" w:cs="Menlo Regular"/>
          <w:color w:val="000000"/>
        </w:rPr>
        <w:t>EU:</w:t>
      </w:r>
      <w:proofErr w:type="gramEnd"/>
      <w:r w:rsidR="00765B18" w:rsidRPr="00CD6A97">
        <w:rPr>
          <w:rFonts w:asciiTheme="minorHAnsi" w:hAnsiTheme="minorHAnsi" w:cs="Menlo Regular"/>
          <w:color w:val="000000"/>
        </w:rPr>
        <w:t xml:space="preserve"> </w:t>
      </w:r>
      <w:proofErr w:type="spellStart"/>
      <w:r w:rsidR="00765B18" w:rsidRPr="00CD6A97">
        <w:rPr>
          <w:rFonts w:asciiTheme="minorHAnsi" w:hAnsiTheme="minorHAnsi" w:cs="Menlo Regular"/>
          <w:color w:val="000000"/>
        </w:rPr>
        <w:t>Methodology</w:t>
      </w:r>
      <w:proofErr w:type="spellEnd"/>
      <w:r w:rsidR="00765B18" w:rsidRPr="00CD6A97">
        <w:rPr>
          <w:rFonts w:asciiTheme="minorHAnsi" w:hAnsiTheme="minorHAnsi" w:cs="Menlo Regular"/>
          <w:color w:val="000000"/>
        </w:rPr>
        <w:t xml:space="preserve"> and </w:t>
      </w:r>
      <w:proofErr w:type="spellStart"/>
      <w:r w:rsidR="00765B18" w:rsidRPr="00CD6A97">
        <w:rPr>
          <w:rFonts w:asciiTheme="minorHAnsi" w:hAnsiTheme="minorHAnsi" w:cs="Menlo Regular"/>
          <w:color w:val="000000"/>
        </w:rPr>
        <w:t>Recommendations</w:t>
      </w:r>
      <w:proofErr w:type="spellEnd"/>
      <w:r w:rsidR="00765B18" w:rsidRPr="00CD6A97">
        <w:rPr>
          <w:rFonts w:asciiTheme="minorHAnsi" w:hAnsiTheme="minorHAnsi" w:cs="Menlo Regular"/>
          <w:color w:val="000000"/>
        </w:rPr>
        <w:t xml:space="preserve"> for Harmonisation”; Luxembourg, 2003</w:t>
      </w:r>
      <w:r w:rsidR="004538B2" w:rsidRPr="00CD6A97">
        <w:rPr>
          <w:rFonts w:asciiTheme="minorHAnsi" w:hAnsiTheme="minorHAnsi" w:cs="Menlo Regular"/>
          <w:color w:val="000000"/>
        </w:rPr>
        <w:t>)</w:t>
      </w:r>
      <w:r w:rsidR="005C28AF" w:rsidRPr="00CD6A97">
        <w:rPr>
          <w:rFonts w:asciiTheme="minorHAnsi" w:hAnsiTheme="minorHAnsi" w:cs="Menlo Regular"/>
          <w:color w:val="000000"/>
        </w:rPr>
        <w:t xml:space="preserve">. </w:t>
      </w:r>
      <w:r w:rsidR="004538B2" w:rsidRPr="00CD6A97">
        <w:rPr>
          <w:rFonts w:asciiTheme="minorHAnsi" w:hAnsiTheme="minorHAnsi" w:cs="Menlo Regular"/>
          <w:color w:val="000000"/>
        </w:rPr>
        <w:t>Cependant</w:t>
      </w:r>
      <w:r w:rsidR="005C28AF" w:rsidRPr="00CD6A97">
        <w:rPr>
          <w:rFonts w:asciiTheme="minorHAnsi" w:hAnsiTheme="minorHAnsi" w:cs="Menlo Regular"/>
          <w:color w:val="000000"/>
        </w:rPr>
        <w:t>, nous n’utilisons pas</w:t>
      </w:r>
      <w:r w:rsidR="00AB7A9A">
        <w:rPr>
          <w:rFonts w:asciiTheme="minorHAnsi" w:hAnsiTheme="minorHAnsi" w:cs="Menlo Regular"/>
          <w:color w:val="000000"/>
        </w:rPr>
        <w:t xml:space="preserve"> ici</w:t>
      </w:r>
      <w:r w:rsidR="005C28AF" w:rsidRPr="00CD6A97">
        <w:rPr>
          <w:rFonts w:asciiTheme="minorHAnsi" w:hAnsiTheme="minorHAnsi" w:cs="Menlo Regular"/>
          <w:color w:val="000000"/>
        </w:rPr>
        <w:t xml:space="preserve"> les données les plus sensibles, qui décomposent la consommation des ménages par type de bie</w:t>
      </w:r>
      <w:r w:rsidR="00CC63B2" w:rsidRPr="00CD6A97">
        <w:rPr>
          <w:rFonts w:asciiTheme="minorHAnsi" w:hAnsiTheme="minorHAnsi" w:cs="Menlo Regular"/>
          <w:color w:val="000000"/>
        </w:rPr>
        <w:t>ns ou services</w:t>
      </w:r>
      <w:r w:rsidR="004538B2" w:rsidRPr="00CD6A97">
        <w:rPr>
          <w:rFonts w:asciiTheme="minorHAnsi" w:hAnsiTheme="minorHAnsi" w:cs="Menlo Regular"/>
          <w:color w:val="000000"/>
        </w:rPr>
        <w:t xml:space="preserve"> (</w:t>
      </w:r>
      <w:proofErr w:type="gramStart"/>
      <w:r w:rsidR="004538B2" w:rsidRPr="00CD6A97">
        <w:rPr>
          <w:rFonts w:asciiTheme="minorHAnsi" w:hAnsiTheme="minorHAnsi" w:cs="Menlo Regular"/>
          <w:color w:val="000000"/>
        </w:rPr>
        <w:t>Eurostat;</w:t>
      </w:r>
      <w:proofErr w:type="gramEnd"/>
      <w:r w:rsidR="004538B2" w:rsidRPr="00CD6A97">
        <w:rPr>
          <w:rFonts w:asciiTheme="minorHAnsi" w:hAnsiTheme="minorHAnsi" w:cs="Menlo Regular"/>
          <w:color w:val="000000"/>
        </w:rPr>
        <w:t xml:space="preserve"> “</w:t>
      </w:r>
      <w:proofErr w:type="spellStart"/>
      <w:r w:rsidR="004538B2" w:rsidRPr="00CD6A97">
        <w:rPr>
          <w:rFonts w:asciiTheme="minorHAnsi" w:hAnsiTheme="minorHAnsi" w:cs="Menlo Regular"/>
          <w:color w:val="000000"/>
        </w:rPr>
        <w:t>Quality</w:t>
      </w:r>
      <w:proofErr w:type="spellEnd"/>
      <w:r w:rsidR="004538B2" w:rsidRPr="00CD6A97">
        <w:rPr>
          <w:rFonts w:asciiTheme="minorHAnsi" w:hAnsiTheme="minorHAnsi" w:cs="Menlo Regular"/>
          <w:color w:val="000000"/>
        </w:rPr>
        <w:t xml:space="preserve"> Report of the „</w:t>
      </w:r>
      <w:proofErr w:type="spellStart"/>
      <w:r w:rsidR="004538B2" w:rsidRPr="00CD6A97">
        <w:rPr>
          <w:rFonts w:asciiTheme="minorHAnsi" w:hAnsiTheme="minorHAnsi" w:cs="Menlo Regular"/>
          <w:color w:val="000000"/>
        </w:rPr>
        <w:t>Household</w:t>
      </w:r>
      <w:proofErr w:type="spellEnd"/>
      <w:r w:rsidR="004538B2" w:rsidRPr="00CD6A97">
        <w:rPr>
          <w:rFonts w:asciiTheme="minorHAnsi" w:hAnsiTheme="minorHAnsi" w:cs="Menlo Regular"/>
          <w:color w:val="000000"/>
        </w:rPr>
        <w:t xml:space="preserve"> Budget </w:t>
      </w:r>
      <w:proofErr w:type="spellStart"/>
      <w:r w:rsidR="004538B2" w:rsidRPr="00CD6A97">
        <w:rPr>
          <w:rFonts w:asciiTheme="minorHAnsi" w:hAnsiTheme="minorHAnsi" w:cs="Menlo Regular"/>
          <w:color w:val="000000"/>
        </w:rPr>
        <w:t>Surveys</w:t>
      </w:r>
      <w:proofErr w:type="spellEnd"/>
      <w:r w:rsidR="004538B2" w:rsidRPr="00CD6A97">
        <w:rPr>
          <w:rFonts w:asciiTheme="minorHAnsi" w:hAnsiTheme="minorHAnsi" w:cs="Menlo Regular"/>
          <w:color w:val="000000"/>
        </w:rPr>
        <w:t>‟ 2005”)</w:t>
      </w:r>
      <w:r w:rsidR="00CC63B2" w:rsidRPr="00CD6A97">
        <w:rPr>
          <w:rFonts w:asciiTheme="minorHAnsi" w:hAnsiTheme="minorHAnsi" w:cs="Menlo Regular"/>
          <w:color w:val="000000"/>
        </w:rPr>
        <w:t>.</w:t>
      </w:r>
    </w:p>
    <w:p w14:paraId="0E8868A0" w14:textId="77777777" w:rsidR="00557020" w:rsidRPr="00CD6A97" w:rsidRDefault="00557020" w:rsidP="00B9039B">
      <w:pPr>
        <w:pStyle w:val="Normalweb"/>
        <w:shd w:val="clear" w:color="auto" w:fill="FFFFFF"/>
        <w:spacing w:before="0" w:beforeAutospacing="0" w:after="120" w:afterAutospacing="0" w:line="276" w:lineRule="auto"/>
        <w:jc w:val="both"/>
        <w:rPr>
          <w:rFonts w:asciiTheme="minorHAnsi" w:hAnsiTheme="minorHAnsi" w:cs="Menlo Regular"/>
          <w:color w:val="000000"/>
        </w:rPr>
      </w:pPr>
    </w:p>
    <w:p w14:paraId="046A9439" w14:textId="411D3019" w:rsidR="003D4163" w:rsidRPr="00CD6A97" w:rsidRDefault="00755C52" w:rsidP="002B01DA">
      <w:pPr>
        <w:pStyle w:val="Normalweb"/>
        <w:shd w:val="clear" w:color="auto" w:fill="FFFFFF"/>
        <w:spacing w:before="0" w:beforeAutospacing="0" w:after="120" w:afterAutospacing="0" w:line="276" w:lineRule="auto"/>
        <w:jc w:val="both"/>
        <w:outlineLvl w:val="0"/>
        <w:rPr>
          <w:rFonts w:asciiTheme="minorHAnsi" w:hAnsiTheme="minorHAnsi" w:cs="Menlo Regular"/>
          <w:b/>
          <w:color w:val="000000"/>
        </w:rPr>
      </w:pPr>
      <w:r w:rsidRPr="00CD6A97">
        <w:rPr>
          <w:rFonts w:asciiTheme="minorHAnsi" w:hAnsiTheme="minorHAnsi" w:cs="Menlo Regular"/>
          <w:b/>
          <w:color w:val="000000"/>
        </w:rPr>
        <w:t>Lissage des propensions à consommer</w:t>
      </w:r>
    </w:p>
    <w:p w14:paraId="4A97779A" w14:textId="3A7EF371" w:rsidR="0051272D" w:rsidRPr="00CD6A97" w:rsidRDefault="0051272D" w:rsidP="00B9039B">
      <w:pPr>
        <w:widowControl w:val="0"/>
        <w:autoSpaceDE w:val="0"/>
        <w:autoSpaceDN w:val="0"/>
        <w:adjustRightInd w:val="0"/>
        <w:spacing w:after="120" w:line="276" w:lineRule="auto"/>
        <w:jc w:val="both"/>
        <w:rPr>
          <w:rFonts w:cs="Arial"/>
          <w:color w:val="1A1A1A"/>
        </w:rPr>
      </w:pPr>
      <w:r w:rsidRPr="00CD6A97">
        <w:rPr>
          <w:rFonts w:cs="Arial"/>
          <w:color w:val="1A1A1A"/>
        </w:rPr>
        <w:t>L’étape suivante consiste à lisser les propensions à consommer</w:t>
      </w:r>
      <w:r w:rsidR="001A0DF3" w:rsidRPr="00CD6A97">
        <w:rPr>
          <w:rFonts w:cs="Arial"/>
          <w:color w:val="1A1A1A"/>
        </w:rPr>
        <w:t xml:space="preserve"> par </w:t>
      </w:r>
      <w:r w:rsidR="00AB7A9A">
        <w:rPr>
          <w:rFonts w:cs="Arial"/>
          <w:color w:val="1A1A1A"/>
        </w:rPr>
        <w:t>niveau de revenu</w:t>
      </w:r>
      <w:r w:rsidRPr="00CD6A97">
        <w:rPr>
          <w:rFonts w:cs="Arial"/>
          <w:color w:val="1A1A1A"/>
        </w:rPr>
        <w:t>, afin d’éviter les effets de seuil dus à un calcul initialement basé sur les quintiles de revenu des ménages.</w:t>
      </w:r>
    </w:p>
    <w:p w14:paraId="1FE3EBE8" w14:textId="1EE0E03B" w:rsidR="00755C52" w:rsidRPr="00CD6A97" w:rsidRDefault="0051272D" w:rsidP="00B9039B">
      <w:pPr>
        <w:widowControl w:val="0"/>
        <w:autoSpaceDE w:val="0"/>
        <w:autoSpaceDN w:val="0"/>
        <w:adjustRightInd w:val="0"/>
        <w:spacing w:after="120" w:line="276" w:lineRule="auto"/>
        <w:jc w:val="both"/>
        <w:rPr>
          <w:rFonts w:cs="Arial"/>
          <w:b/>
          <w:color w:val="1A1A1A"/>
        </w:rPr>
      </w:pPr>
      <w:r w:rsidRPr="00CD6A97">
        <w:rPr>
          <w:rFonts w:cs="Arial"/>
          <w:b/>
          <w:color w:val="1A1A1A"/>
        </w:rPr>
        <w:t xml:space="preserve">Une simple régression est opérée, afin d’estimer la </w:t>
      </w:r>
      <w:r w:rsidR="001A0DF3" w:rsidRPr="00CD6A97">
        <w:rPr>
          <w:rFonts w:cs="Arial"/>
          <w:b/>
          <w:color w:val="1A1A1A"/>
          <w:u w:val="single"/>
        </w:rPr>
        <w:t>propension marginale à consommer</w:t>
      </w:r>
      <w:r w:rsidR="001A0DF3" w:rsidRPr="00CD6A97">
        <w:rPr>
          <w:rFonts w:cs="Arial"/>
          <w:b/>
          <w:color w:val="1A1A1A"/>
        </w:rPr>
        <w:t xml:space="preserve"> (pente ou dérivée</w:t>
      </w:r>
      <w:r w:rsidRPr="00CD6A97">
        <w:rPr>
          <w:rFonts w:cs="Arial"/>
          <w:b/>
          <w:color w:val="1A1A1A"/>
        </w:rPr>
        <w:t xml:space="preserve"> de la propension à consommer</w:t>
      </w:r>
      <w:r w:rsidR="001A0DF3" w:rsidRPr="00CD6A97">
        <w:rPr>
          <w:rFonts w:cs="Arial"/>
          <w:b/>
          <w:color w:val="1A1A1A"/>
        </w:rPr>
        <w:t xml:space="preserve"> par quantile)</w:t>
      </w:r>
      <w:r w:rsidRPr="00CD6A97">
        <w:rPr>
          <w:rFonts w:cs="Arial"/>
          <w:b/>
          <w:color w:val="1A1A1A"/>
        </w:rPr>
        <w:t> :</w:t>
      </w:r>
    </w:p>
    <w:p w14:paraId="67F7295B" w14:textId="4FB10C96" w:rsidR="0051272D" w:rsidRPr="00CD6A97" w:rsidRDefault="0051272D" w:rsidP="00B9039B">
      <w:pPr>
        <w:widowControl w:val="0"/>
        <w:autoSpaceDE w:val="0"/>
        <w:autoSpaceDN w:val="0"/>
        <w:adjustRightInd w:val="0"/>
        <w:spacing w:after="120" w:line="276" w:lineRule="auto"/>
        <w:jc w:val="both"/>
        <w:rPr>
          <w:rFonts w:cs="Arial"/>
          <w:color w:val="1A1A1A"/>
        </w:rPr>
      </w:pPr>
      <w:r w:rsidRPr="00CD6A97">
        <w:rPr>
          <w:rFonts w:cs="Arial"/>
          <w:color w:val="1A1A1A"/>
        </w:rPr>
        <w:t>Propension</w:t>
      </w:r>
      <w:r w:rsidR="00CC63B2" w:rsidRPr="00CD6A97">
        <w:rPr>
          <w:rFonts w:cs="Arial"/>
          <w:color w:val="1A1A1A"/>
        </w:rPr>
        <w:t xml:space="preserve"> </w:t>
      </w:r>
      <w:r w:rsidRPr="00CD6A97">
        <w:rPr>
          <w:rFonts w:cs="Arial"/>
          <w:color w:val="1A1A1A"/>
        </w:rPr>
        <w:t>à consommer</w:t>
      </w:r>
      <w:r w:rsidR="001A0DF3" w:rsidRPr="00CD6A97">
        <w:rPr>
          <w:rFonts w:cs="Arial"/>
          <w:color w:val="1A1A1A"/>
        </w:rPr>
        <w:t xml:space="preserve"> par quantile</w:t>
      </w:r>
      <w:r w:rsidRPr="00CD6A97">
        <w:rPr>
          <w:rFonts w:cs="Arial"/>
          <w:color w:val="1A1A1A"/>
        </w:rPr>
        <w:t xml:space="preserve"> ajustée = </w:t>
      </w:r>
      <w:r w:rsidR="001A0DF3" w:rsidRPr="00CD6A97">
        <w:rPr>
          <w:rFonts w:cs="Arial"/>
          <w:color w:val="1A1A1A"/>
        </w:rPr>
        <w:t>(</w:t>
      </w:r>
      <w:r w:rsidRPr="00CD6A97">
        <w:rPr>
          <w:rFonts w:cs="Arial"/>
          <w:color w:val="1A1A1A"/>
        </w:rPr>
        <w:t xml:space="preserve">propension </w:t>
      </w:r>
      <w:r w:rsidR="00CC63B2" w:rsidRPr="00CD6A97">
        <w:rPr>
          <w:rFonts w:cs="Arial"/>
          <w:color w:val="1A1A1A"/>
        </w:rPr>
        <w:t xml:space="preserve">marginale </w:t>
      </w:r>
      <w:r w:rsidRPr="00CD6A97">
        <w:rPr>
          <w:rFonts w:cs="Arial"/>
          <w:color w:val="1A1A1A"/>
        </w:rPr>
        <w:t xml:space="preserve">à consommer </w:t>
      </w:r>
      <w:r w:rsidR="001A0DF3" w:rsidRPr="00CD6A97">
        <w:rPr>
          <w:rFonts w:cs="Arial"/>
          <w:color w:val="1A1A1A"/>
        </w:rPr>
        <w:t>à estimer)</w:t>
      </w:r>
      <w:r w:rsidRPr="00CD6A97">
        <w:rPr>
          <w:rFonts w:cs="Arial"/>
          <w:color w:val="1A1A1A"/>
        </w:rPr>
        <w:t xml:space="preserve"> * </w:t>
      </w:r>
      <w:r w:rsidR="001A0DF3" w:rsidRPr="00CD6A97">
        <w:rPr>
          <w:rFonts w:cs="Arial"/>
          <w:color w:val="1A1A1A"/>
        </w:rPr>
        <w:t>(</w:t>
      </w:r>
      <w:r w:rsidRPr="00CD6A97">
        <w:rPr>
          <w:rFonts w:cs="Arial"/>
          <w:color w:val="1A1A1A"/>
        </w:rPr>
        <w:t>niveau de revenu par quantile</w:t>
      </w:r>
      <w:r w:rsidR="001A0DF3" w:rsidRPr="00CD6A97">
        <w:rPr>
          <w:rFonts w:cs="Arial"/>
          <w:color w:val="1A1A1A"/>
        </w:rPr>
        <w:t>)</w:t>
      </w:r>
      <w:r w:rsidR="00350B0C">
        <w:rPr>
          <w:rFonts w:cs="Arial"/>
          <w:color w:val="1A1A1A"/>
        </w:rPr>
        <w:t xml:space="preserve"> + constante</w:t>
      </w:r>
    </w:p>
    <w:p w14:paraId="69438DCE" w14:textId="0CA5E5D9" w:rsidR="00426C73" w:rsidRPr="00CD6A97" w:rsidRDefault="00426C73" w:rsidP="00B9039B">
      <w:pPr>
        <w:widowControl w:val="0"/>
        <w:autoSpaceDE w:val="0"/>
        <w:autoSpaceDN w:val="0"/>
        <w:adjustRightInd w:val="0"/>
        <w:spacing w:after="120" w:line="276" w:lineRule="auto"/>
        <w:jc w:val="both"/>
        <w:rPr>
          <w:rFonts w:cs="Arial"/>
          <w:color w:val="1A1A1A"/>
        </w:rPr>
      </w:pPr>
      <w:r w:rsidRPr="00CD6A97">
        <w:rPr>
          <w:rFonts w:cs="Arial"/>
          <w:color w:val="1A1A1A"/>
        </w:rPr>
        <w:t xml:space="preserve">Afin d’estimer au plus près la </w:t>
      </w:r>
      <w:r w:rsidR="00E16D6C" w:rsidRPr="00CD6A97">
        <w:rPr>
          <w:rFonts w:cs="Arial"/>
          <w:color w:val="1A1A1A"/>
        </w:rPr>
        <w:t>distribution</w:t>
      </w:r>
      <w:r w:rsidRPr="00CD6A97">
        <w:rPr>
          <w:rFonts w:cs="Arial"/>
          <w:color w:val="1A1A1A"/>
        </w:rPr>
        <w:t xml:space="preserve"> de la consommation par niveau de revenu, nous opérons </w:t>
      </w:r>
      <w:r w:rsidR="00350B0C">
        <w:rPr>
          <w:rFonts w:cs="Arial"/>
          <w:color w:val="1A1A1A"/>
        </w:rPr>
        <w:t xml:space="preserve">au préalable </w:t>
      </w:r>
      <w:r w:rsidRPr="00CD6A97">
        <w:rPr>
          <w:rFonts w:cs="Arial"/>
          <w:color w:val="1A1A1A"/>
        </w:rPr>
        <w:t>deux transformations :</w:t>
      </w:r>
    </w:p>
    <w:p w14:paraId="09C0AD69" w14:textId="52D325DF" w:rsidR="00555E02" w:rsidRPr="00CD6A97" w:rsidRDefault="00AB7A9A" w:rsidP="00B9039B">
      <w:pPr>
        <w:pStyle w:val="Pardeliste"/>
        <w:widowControl w:val="0"/>
        <w:numPr>
          <w:ilvl w:val="0"/>
          <w:numId w:val="2"/>
        </w:numPr>
        <w:autoSpaceDE w:val="0"/>
        <w:autoSpaceDN w:val="0"/>
        <w:adjustRightInd w:val="0"/>
        <w:spacing w:after="120" w:line="276" w:lineRule="auto"/>
        <w:jc w:val="both"/>
        <w:rPr>
          <w:rFonts w:cs="Arial"/>
          <w:color w:val="1A1A1A"/>
        </w:rPr>
      </w:pPr>
      <w:r>
        <w:rPr>
          <w:rFonts w:cs="Arial"/>
          <w:color w:val="1A1A1A"/>
        </w:rPr>
        <w:t>Pour</w:t>
      </w:r>
      <w:r w:rsidR="00555E02" w:rsidRPr="00CD6A97">
        <w:rPr>
          <w:rFonts w:cs="Arial"/>
          <w:color w:val="1A1A1A"/>
        </w:rPr>
        <w:t xml:space="preserve"> tenir compte du fait que la propension à consommer par quantile est calculée sur la médiane du revenu du quantile (et non sur le revenu moyen), nous normalisons le revenu de chaque quantile en le centrant sur le revenu médian </w:t>
      </w:r>
    </w:p>
    <w:p w14:paraId="15776EF3" w14:textId="2F20AE20" w:rsidR="00426C73" w:rsidRPr="00CD6A97" w:rsidRDefault="00426C73" w:rsidP="00B9039B">
      <w:pPr>
        <w:pStyle w:val="Pardeliste"/>
        <w:widowControl w:val="0"/>
        <w:numPr>
          <w:ilvl w:val="0"/>
          <w:numId w:val="2"/>
        </w:numPr>
        <w:autoSpaceDE w:val="0"/>
        <w:autoSpaceDN w:val="0"/>
        <w:adjustRightInd w:val="0"/>
        <w:spacing w:after="120" w:line="276" w:lineRule="auto"/>
        <w:jc w:val="both"/>
        <w:rPr>
          <w:rFonts w:cs="Arial"/>
          <w:color w:val="1A1A1A"/>
        </w:rPr>
      </w:pPr>
      <w:r w:rsidRPr="00CD6A97">
        <w:rPr>
          <w:rFonts w:cs="Arial"/>
          <w:color w:val="1A1A1A"/>
        </w:rPr>
        <w:t>L’estimateur économétrique utilisé (</w:t>
      </w:r>
      <w:r w:rsidR="001A0DF3" w:rsidRPr="00CD6A97">
        <w:rPr>
          <w:rFonts w:cs="Arial"/>
          <w:color w:val="1A1A1A"/>
        </w:rPr>
        <w:t>MCO</w:t>
      </w:r>
      <w:r w:rsidRPr="00CD6A97">
        <w:rPr>
          <w:rFonts w:cs="Arial"/>
          <w:color w:val="1A1A1A"/>
        </w:rPr>
        <w:t xml:space="preserve">) nécessitant une relation linéaire, nous utilisons les logarithmes de la </w:t>
      </w:r>
      <w:r w:rsidR="001A0DF3" w:rsidRPr="00CD6A97">
        <w:rPr>
          <w:rFonts w:cs="Arial"/>
          <w:color w:val="1A1A1A"/>
        </w:rPr>
        <w:t>propension à consommer</w:t>
      </w:r>
      <w:r w:rsidRPr="00CD6A97">
        <w:rPr>
          <w:rFonts w:cs="Arial"/>
          <w:color w:val="1A1A1A"/>
        </w:rPr>
        <w:t xml:space="preserve"> et du revenu </w:t>
      </w:r>
      <w:r w:rsidR="00555E02" w:rsidRPr="00CD6A97">
        <w:rPr>
          <w:rFonts w:cs="Arial"/>
          <w:color w:val="1A1A1A"/>
        </w:rPr>
        <w:t xml:space="preserve">normalisé </w:t>
      </w:r>
      <w:r w:rsidRPr="00CD6A97">
        <w:rPr>
          <w:rFonts w:cs="Arial"/>
          <w:color w:val="1A1A1A"/>
        </w:rPr>
        <w:t xml:space="preserve">(afin de </w:t>
      </w:r>
      <w:r w:rsidR="00AB7A9A">
        <w:rPr>
          <w:rFonts w:cs="Arial"/>
          <w:color w:val="1A1A1A"/>
        </w:rPr>
        <w:t>réduire</w:t>
      </w:r>
      <w:r w:rsidRPr="00CD6A97">
        <w:rPr>
          <w:rFonts w:cs="Arial"/>
          <w:color w:val="1A1A1A"/>
        </w:rPr>
        <w:t xml:space="preserve"> les non-linéarités</w:t>
      </w:r>
      <w:r w:rsidR="00AB7A9A">
        <w:rPr>
          <w:rFonts w:cs="Arial"/>
          <w:color w:val="1A1A1A"/>
        </w:rPr>
        <w:t xml:space="preserve"> observées</w:t>
      </w:r>
      <w:r w:rsidRPr="00CD6A97">
        <w:rPr>
          <w:rFonts w:cs="Arial"/>
          <w:color w:val="1A1A1A"/>
        </w:rPr>
        <w:t>)</w:t>
      </w:r>
    </w:p>
    <w:p w14:paraId="1EF3CE6E" w14:textId="77777777" w:rsidR="00AF02B0" w:rsidRPr="00CD6A97" w:rsidRDefault="00AF02B0" w:rsidP="00B9039B">
      <w:pPr>
        <w:widowControl w:val="0"/>
        <w:autoSpaceDE w:val="0"/>
        <w:autoSpaceDN w:val="0"/>
        <w:adjustRightInd w:val="0"/>
        <w:spacing w:after="120" w:line="276" w:lineRule="auto"/>
        <w:jc w:val="both"/>
        <w:rPr>
          <w:rFonts w:cs="Arial"/>
          <w:b/>
          <w:color w:val="1A1A1A"/>
        </w:rPr>
      </w:pPr>
    </w:p>
    <w:p w14:paraId="31495389" w14:textId="77777777" w:rsidR="00AF02B0" w:rsidRPr="00CD6A97" w:rsidRDefault="00AF02B0" w:rsidP="002B01DA">
      <w:pPr>
        <w:widowControl w:val="0"/>
        <w:autoSpaceDE w:val="0"/>
        <w:autoSpaceDN w:val="0"/>
        <w:adjustRightInd w:val="0"/>
        <w:spacing w:after="120" w:line="276" w:lineRule="auto"/>
        <w:jc w:val="both"/>
        <w:outlineLvl w:val="0"/>
        <w:rPr>
          <w:rFonts w:cs="Arial"/>
          <w:b/>
          <w:color w:val="1A1A1A"/>
        </w:rPr>
      </w:pPr>
      <w:r w:rsidRPr="00CD6A97">
        <w:rPr>
          <w:rFonts w:cs="Arial"/>
          <w:b/>
          <w:color w:val="1A1A1A"/>
        </w:rPr>
        <w:t>Utilisation des paramètres simulés dans les données LIS</w:t>
      </w:r>
    </w:p>
    <w:p w14:paraId="0613280C" w14:textId="4B5A79AB" w:rsidR="00702D7F" w:rsidRPr="00CD6A97" w:rsidRDefault="00AF02B0" w:rsidP="00B9039B">
      <w:pPr>
        <w:widowControl w:val="0"/>
        <w:autoSpaceDE w:val="0"/>
        <w:autoSpaceDN w:val="0"/>
        <w:adjustRightInd w:val="0"/>
        <w:spacing w:after="120" w:line="276" w:lineRule="auto"/>
        <w:jc w:val="both"/>
        <w:rPr>
          <w:rFonts w:cs="Arial"/>
          <w:color w:val="1A1A1A"/>
        </w:rPr>
      </w:pPr>
      <w:r w:rsidRPr="00CD6A97">
        <w:rPr>
          <w:rFonts w:cs="Arial"/>
          <w:color w:val="1A1A1A"/>
        </w:rPr>
        <w:t>Les paramètres estimés pour chaque pays-année sont ensuite introduits dans la base de données LIS au niveau des ménages, afin de générer la taxation indirecte effectivement payée par chaque ménage.</w:t>
      </w:r>
    </w:p>
    <w:p w14:paraId="27F41074" w14:textId="0B378D95" w:rsidR="00702D7F" w:rsidRPr="00CD6A97" w:rsidRDefault="00AF02B0" w:rsidP="002B01DA">
      <w:pPr>
        <w:widowControl w:val="0"/>
        <w:autoSpaceDE w:val="0"/>
        <w:autoSpaceDN w:val="0"/>
        <w:adjustRightInd w:val="0"/>
        <w:spacing w:after="120" w:line="276" w:lineRule="auto"/>
        <w:jc w:val="both"/>
        <w:outlineLvl w:val="0"/>
        <w:rPr>
          <w:rFonts w:cs="Arial"/>
          <w:b/>
          <w:color w:val="1A1A1A"/>
        </w:rPr>
      </w:pPr>
      <w:r w:rsidRPr="00CD6A97">
        <w:rPr>
          <w:rFonts w:cs="Arial"/>
          <w:b/>
          <w:color w:val="1A1A1A"/>
        </w:rPr>
        <w:t>La formule générique est la suivante :</w:t>
      </w:r>
    </w:p>
    <w:p w14:paraId="5927FF8A" w14:textId="13C4DBC4" w:rsidR="00702D7F" w:rsidRPr="00CD6A97" w:rsidRDefault="00AF02B0" w:rsidP="00B9039B">
      <w:pPr>
        <w:widowControl w:val="0"/>
        <w:autoSpaceDE w:val="0"/>
        <w:autoSpaceDN w:val="0"/>
        <w:adjustRightInd w:val="0"/>
        <w:spacing w:after="120" w:line="276" w:lineRule="auto"/>
        <w:jc w:val="both"/>
        <w:rPr>
          <w:rFonts w:cs="Arial"/>
          <w:color w:val="1A1A1A"/>
        </w:rPr>
      </w:pPr>
      <w:r w:rsidRPr="00CD6A97">
        <w:rPr>
          <w:rFonts w:cs="Arial"/>
          <w:color w:val="1A1A1A"/>
        </w:rPr>
        <w:t xml:space="preserve">Taxe indirecte </w:t>
      </w:r>
      <w:r w:rsidR="004538B2" w:rsidRPr="00CD6A97">
        <w:rPr>
          <w:rFonts w:cs="Arial"/>
          <w:color w:val="1A1A1A"/>
        </w:rPr>
        <w:t>versée</w:t>
      </w:r>
      <w:r w:rsidRPr="00CD6A97">
        <w:rPr>
          <w:rFonts w:cs="Arial"/>
          <w:color w:val="1A1A1A"/>
        </w:rPr>
        <w:t xml:space="preserve"> par les ménages = F</w:t>
      </w:r>
      <w:r w:rsidR="00AB7A9A">
        <w:rPr>
          <w:rFonts w:cs="Arial"/>
          <w:color w:val="1A1A1A"/>
        </w:rPr>
        <w:t xml:space="preserve"> </w:t>
      </w:r>
      <w:r w:rsidRPr="00CD6A97">
        <w:rPr>
          <w:rFonts w:cs="Arial"/>
          <w:color w:val="1A1A1A"/>
        </w:rPr>
        <w:t>(revenu disponible des ménages</w:t>
      </w:r>
      <w:r w:rsidR="00702D7F" w:rsidRPr="00CD6A97">
        <w:rPr>
          <w:rFonts w:cs="Arial"/>
          <w:color w:val="1A1A1A"/>
        </w:rPr>
        <w:t>) </w:t>
      </w:r>
    </w:p>
    <w:p w14:paraId="6E429632" w14:textId="77777777" w:rsidR="002E1BE4" w:rsidRPr="00CD6A97" w:rsidRDefault="00AF02B0" w:rsidP="00B9039B">
      <w:pPr>
        <w:widowControl w:val="0"/>
        <w:autoSpaceDE w:val="0"/>
        <w:autoSpaceDN w:val="0"/>
        <w:adjustRightInd w:val="0"/>
        <w:spacing w:after="120" w:line="276" w:lineRule="auto"/>
        <w:jc w:val="both"/>
        <w:rPr>
          <w:rFonts w:cs="Arial"/>
          <w:color w:val="1A1A1A"/>
        </w:rPr>
      </w:pPr>
      <w:r w:rsidRPr="00CD6A97">
        <w:rPr>
          <w:rFonts w:cs="Arial"/>
          <w:color w:val="1A1A1A"/>
        </w:rPr>
        <w:t>Où F est une fonction des paramètres inclus dans la base (taux implicites + propension moyenne à consommer</w:t>
      </w:r>
      <w:r w:rsidR="003A475A" w:rsidRPr="00CD6A97">
        <w:rPr>
          <w:rFonts w:cs="Arial"/>
          <w:color w:val="1A1A1A"/>
        </w:rPr>
        <w:t xml:space="preserve"> +</w:t>
      </w:r>
      <w:r w:rsidRPr="00CD6A97">
        <w:rPr>
          <w:rFonts w:cs="Arial"/>
          <w:color w:val="1A1A1A"/>
        </w:rPr>
        <w:t xml:space="preserve"> propension </w:t>
      </w:r>
      <w:r w:rsidR="003A475A" w:rsidRPr="00CD6A97">
        <w:rPr>
          <w:rFonts w:cs="Arial"/>
          <w:color w:val="1A1A1A"/>
        </w:rPr>
        <w:t xml:space="preserve">marginale </w:t>
      </w:r>
      <w:r w:rsidRPr="00CD6A97">
        <w:rPr>
          <w:rFonts w:cs="Arial"/>
          <w:color w:val="1A1A1A"/>
        </w:rPr>
        <w:t>à consommer)</w:t>
      </w:r>
      <w:r w:rsidR="002E1BE4" w:rsidRPr="00CD6A97">
        <w:rPr>
          <w:rFonts w:cs="Arial"/>
          <w:color w:val="1A1A1A"/>
        </w:rPr>
        <w:t>.</w:t>
      </w:r>
    </w:p>
    <w:p w14:paraId="67478DEB" w14:textId="48292BA4" w:rsidR="00755C52" w:rsidRPr="00CD6A97" w:rsidRDefault="00E16D6C" w:rsidP="00B9039B">
      <w:pPr>
        <w:widowControl w:val="0"/>
        <w:autoSpaceDE w:val="0"/>
        <w:autoSpaceDN w:val="0"/>
        <w:adjustRightInd w:val="0"/>
        <w:spacing w:after="120" w:line="276" w:lineRule="auto"/>
        <w:jc w:val="both"/>
        <w:rPr>
          <w:rFonts w:cs="Arial"/>
          <w:color w:val="1A1A1A"/>
        </w:rPr>
      </w:pPr>
      <w:r w:rsidRPr="00CD6A97">
        <w:rPr>
          <w:rFonts w:cs="Arial"/>
          <w:color w:val="1A1A1A"/>
        </w:rPr>
        <w:t>Le</w:t>
      </w:r>
      <w:r w:rsidR="002E1BE4" w:rsidRPr="00CD6A97">
        <w:rPr>
          <w:rFonts w:cs="Arial"/>
          <w:color w:val="1A1A1A"/>
        </w:rPr>
        <w:t>s transformations des variables opérées au moment de l’estimation des paramètres sont prises en compte (normalisation du revenu, puis transformation logarithmique de la propension à consommer et du revenu).</w:t>
      </w:r>
      <w:r w:rsidRPr="00CD6A97">
        <w:rPr>
          <w:rFonts w:cs="Arial"/>
          <w:color w:val="1A1A1A"/>
        </w:rPr>
        <w:t xml:space="preserve"> </w:t>
      </w:r>
    </w:p>
    <w:p w14:paraId="3F96E9E7" w14:textId="4B300F7B" w:rsidR="00555E02" w:rsidRPr="00AB7A9A" w:rsidRDefault="00555E02" w:rsidP="002B01DA">
      <w:pPr>
        <w:widowControl w:val="0"/>
        <w:autoSpaceDE w:val="0"/>
        <w:autoSpaceDN w:val="0"/>
        <w:adjustRightInd w:val="0"/>
        <w:spacing w:after="120" w:line="276" w:lineRule="auto"/>
        <w:jc w:val="both"/>
        <w:outlineLvl w:val="0"/>
        <w:rPr>
          <w:rFonts w:cs="Arial"/>
          <w:b/>
          <w:color w:val="1A1A1A"/>
        </w:rPr>
      </w:pPr>
      <w:r w:rsidRPr="00AB7A9A">
        <w:rPr>
          <w:rFonts w:cs="Arial"/>
          <w:b/>
          <w:color w:val="1A1A1A"/>
        </w:rPr>
        <w:t>Ainsi :</w:t>
      </w:r>
    </w:p>
    <w:p w14:paraId="0DCEAD4A" w14:textId="662F8406" w:rsidR="00555E02" w:rsidRPr="00CD6A97" w:rsidRDefault="00555E02" w:rsidP="00B9039B">
      <w:pPr>
        <w:widowControl w:val="0"/>
        <w:autoSpaceDE w:val="0"/>
        <w:autoSpaceDN w:val="0"/>
        <w:adjustRightInd w:val="0"/>
        <w:spacing w:after="120" w:line="276" w:lineRule="auto"/>
        <w:jc w:val="both"/>
        <w:rPr>
          <w:rFonts w:cs="Arial"/>
          <w:color w:val="1A1A1A"/>
        </w:rPr>
      </w:pPr>
      <w:r w:rsidRPr="00CD6A97">
        <w:rPr>
          <w:rFonts w:cs="Arial"/>
          <w:color w:val="1A1A1A"/>
        </w:rPr>
        <w:t xml:space="preserve">Taxe indirecte versée par les ménages = </w:t>
      </w:r>
      <w:r w:rsidR="002E1BE4" w:rsidRPr="00CD6A97">
        <w:rPr>
          <w:rFonts w:cs="Arial"/>
          <w:color w:val="1A1A1A"/>
        </w:rPr>
        <w:t>Taux implicite * [P</w:t>
      </w:r>
      <w:r w:rsidRPr="00CD6A97">
        <w:rPr>
          <w:rFonts w:cs="Arial"/>
          <w:color w:val="1A1A1A"/>
        </w:rPr>
        <w:t xml:space="preserve">ropension </w:t>
      </w:r>
      <w:r w:rsidR="002E1BE4" w:rsidRPr="00CD6A97">
        <w:rPr>
          <w:rFonts w:cs="Arial"/>
          <w:color w:val="1A1A1A"/>
        </w:rPr>
        <w:t>moyenne</w:t>
      </w:r>
      <w:r w:rsidRPr="00CD6A97">
        <w:rPr>
          <w:rFonts w:cs="Arial"/>
          <w:color w:val="1A1A1A"/>
        </w:rPr>
        <w:t xml:space="preserve"> à consommer </w:t>
      </w:r>
      <w:r w:rsidR="002E1BE4" w:rsidRPr="00CD6A97">
        <w:rPr>
          <w:rFonts w:cs="Arial"/>
          <w:color w:val="1A1A1A"/>
        </w:rPr>
        <w:t xml:space="preserve">+ (propension marginale à consommer </w:t>
      </w:r>
      <w:r w:rsidRPr="00CD6A97">
        <w:rPr>
          <w:rFonts w:cs="Arial"/>
          <w:color w:val="1A1A1A"/>
        </w:rPr>
        <w:t>* revenu disponible des ménages</w:t>
      </w:r>
      <w:r w:rsidR="002E1BE4" w:rsidRPr="00CD6A97">
        <w:rPr>
          <w:rFonts w:cs="Arial"/>
          <w:color w:val="1A1A1A"/>
        </w:rPr>
        <w:t xml:space="preserve">)] * Revenu disponible des ménages </w:t>
      </w:r>
    </w:p>
    <w:p w14:paraId="4AD4A0F9" w14:textId="497027DB" w:rsidR="00F63CBF" w:rsidRPr="00CD6A97" w:rsidRDefault="00F63CBF" w:rsidP="00B9039B">
      <w:pPr>
        <w:widowControl w:val="0"/>
        <w:autoSpaceDE w:val="0"/>
        <w:autoSpaceDN w:val="0"/>
        <w:adjustRightInd w:val="0"/>
        <w:spacing w:after="120" w:line="276" w:lineRule="auto"/>
        <w:jc w:val="both"/>
        <w:rPr>
          <w:rFonts w:cs="Arial"/>
          <w:color w:val="1A1A1A"/>
        </w:rPr>
      </w:pPr>
      <w:r w:rsidRPr="00CD6A97">
        <w:rPr>
          <w:rFonts w:cs="Arial"/>
          <w:color w:val="1A1A1A"/>
        </w:rPr>
        <w:t>Les taux implicites</w:t>
      </w:r>
      <w:r w:rsidR="00D63613" w:rsidRPr="00CD6A97">
        <w:rPr>
          <w:rFonts w:cs="Arial"/>
          <w:color w:val="1A1A1A"/>
        </w:rPr>
        <w:t>,</w:t>
      </w:r>
      <w:r w:rsidRPr="00CD6A97">
        <w:rPr>
          <w:rFonts w:cs="Arial"/>
          <w:color w:val="1A1A1A"/>
        </w:rPr>
        <w:t xml:space="preserve"> ainsi que les propensions moyennes et marginales à consommer</w:t>
      </w:r>
      <w:r w:rsidR="00D63613" w:rsidRPr="00CD6A97">
        <w:rPr>
          <w:rFonts w:cs="Arial"/>
          <w:color w:val="1A1A1A"/>
        </w:rPr>
        <w:t>,</w:t>
      </w:r>
      <w:r w:rsidRPr="00CD6A97">
        <w:rPr>
          <w:rFonts w:cs="Arial"/>
          <w:color w:val="1A1A1A"/>
        </w:rPr>
        <w:t xml:space="preserve"> varient par pays-année. Pour les pays absents de la base Eurostat, la propension marginale à consommer appliquée correspond à la moyenne des propensions marginales mesurées sur l’échantillon Eurostat.</w:t>
      </w:r>
      <w:r w:rsidR="00CA4D75" w:rsidRPr="00CD6A97">
        <w:rPr>
          <w:rFonts w:cs="Arial"/>
          <w:color w:val="1A1A1A"/>
        </w:rPr>
        <w:t xml:space="preserve"> </w:t>
      </w:r>
      <w:r w:rsidR="00CA4D75" w:rsidRPr="00CD6A97">
        <w:rPr>
          <w:rFonts w:cs="Menlo Regular"/>
          <w:color w:val="000000"/>
        </w:rPr>
        <w:t>Pour les années absentes de la base Eurostat, la propension marginale à consommer appliquée correspond à l’année la plus proche (ex : France 2000 présente dans LIS prend la valeur de France 1999 présente dans Eurostat).</w:t>
      </w:r>
    </w:p>
    <w:p w14:paraId="4F661A67" w14:textId="77777777" w:rsidR="00F63CBF" w:rsidRPr="00CD6A97" w:rsidRDefault="00F63CBF" w:rsidP="002B01DA">
      <w:pPr>
        <w:widowControl w:val="0"/>
        <w:autoSpaceDE w:val="0"/>
        <w:autoSpaceDN w:val="0"/>
        <w:adjustRightInd w:val="0"/>
        <w:spacing w:after="120" w:line="276" w:lineRule="auto"/>
        <w:jc w:val="both"/>
        <w:outlineLvl w:val="0"/>
        <w:rPr>
          <w:rFonts w:cs="Arial"/>
          <w:color w:val="1A1A1A"/>
          <w:u w:val="single"/>
        </w:rPr>
      </w:pPr>
      <w:r w:rsidRPr="00CD6A97">
        <w:rPr>
          <w:rFonts w:cs="Arial"/>
          <w:color w:val="1A1A1A"/>
          <w:u w:val="single"/>
        </w:rPr>
        <w:t>Note de bas de page :</w:t>
      </w:r>
    </w:p>
    <w:p w14:paraId="75D0CEE7" w14:textId="7AB28CD9" w:rsidR="00F63CBF" w:rsidRPr="00CD6A97" w:rsidRDefault="00F63CBF" w:rsidP="00B9039B">
      <w:pPr>
        <w:pStyle w:val="Pardeliste"/>
        <w:widowControl w:val="0"/>
        <w:numPr>
          <w:ilvl w:val="0"/>
          <w:numId w:val="2"/>
        </w:numPr>
        <w:autoSpaceDE w:val="0"/>
        <w:autoSpaceDN w:val="0"/>
        <w:adjustRightInd w:val="0"/>
        <w:spacing w:after="120" w:line="276" w:lineRule="auto"/>
        <w:jc w:val="both"/>
        <w:rPr>
          <w:rFonts w:cs="Arial"/>
          <w:color w:val="1A1A1A"/>
        </w:rPr>
      </w:pPr>
      <w:r w:rsidRPr="00CD6A97">
        <w:rPr>
          <w:rFonts w:cs="Arial"/>
          <w:color w:val="1A1A1A"/>
        </w:rPr>
        <w:t>Pour ce calcul, nous excluons les pays d’Europe de l’Est, ainsi que les années avant la crise de 2008. Ainsi, l’échantillon retenu a des caractéristiques proches des pays à estimer (USA, AU, SW</w:t>
      </w:r>
      <w:r w:rsidR="00D63613" w:rsidRPr="00CD6A97">
        <w:rPr>
          <w:rFonts w:cs="Arial"/>
          <w:color w:val="1A1A1A"/>
        </w:rPr>
        <w:t xml:space="preserve">, </w:t>
      </w:r>
      <w:proofErr w:type="gramStart"/>
      <w:r w:rsidR="00D63613" w:rsidRPr="00CD6A97">
        <w:rPr>
          <w:rFonts w:cs="Arial"/>
          <w:color w:val="1A1A1A"/>
        </w:rPr>
        <w:t>CA</w:t>
      </w:r>
      <w:proofErr w:type="gramEnd"/>
      <w:r w:rsidRPr="00CD6A97">
        <w:rPr>
          <w:rFonts w:cs="Arial"/>
          <w:color w:val="1A1A1A"/>
        </w:rPr>
        <w:t>) en terme de niveau de vie</w:t>
      </w:r>
      <w:r w:rsidR="002B01DA">
        <w:rPr>
          <w:rFonts w:cs="Arial"/>
          <w:color w:val="1A1A1A"/>
        </w:rPr>
        <w:t xml:space="preserve"> (</w:t>
      </w:r>
      <w:r w:rsidR="002B01DA" w:rsidRPr="002B01DA">
        <w:rPr>
          <w:rFonts w:cs="Arial"/>
          <w:color w:val="1A1A1A"/>
          <w:highlight w:val="yellow"/>
        </w:rPr>
        <w:t>exception faite de IS</w:t>
      </w:r>
      <w:r w:rsidR="00DD011B">
        <w:rPr>
          <w:rFonts w:cs="Arial"/>
          <w:color w:val="1A1A1A"/>
        </w:rPr>
        <w:t>)</w:t>
      </w:r>
      <w:r w:rsidR="00D63613" w:rsidRPr="00CD6A97">
        <w:rPr>
          <w:rFonts w:cs="Arial"/>
          <w:color w:val="1A1A1A"/>
        </w:rPr>
        <w:t xml:space="preserve">. A noter pour l’interprétation des résultats : l’effet perturbateur de la crise de 2008 sur la propension </w:t>
      </w:r>
      <w:r w:rsidR="00D63613" w:rsidRPr="00CD6A97">
        <w:rPr>
          <w:rFonts w:cs="Arial"/>
          <w:color w:val="1A1A1A"/>
          <w:u w:val="single"/>
        </w:rPr>
        <w:t>marginale</w:t>
      </w:r>
      <w:r w:rsidR="00D63613" w:rsidRPr="00CD6A97">
        <w:rPr>
          <w:rFonts w:cs="Arial"/>
          <w:color w:val="1A1A1A"/>
        </w:rPr>
        <w:t xml:space="preserve"> à consommer n’est donc pas pris en compte pour ces quatre pays</w:t>
      </w:r>
      <w:r w:rsidRPr="00CD6A97">
        <w:rPr>
          <w:rFonts w:cs="Arial"/>
          <w:color w:val="1A1A1A"/>
        </w:rPr>
        <w:t>.</w:t>
      </w:r>
      <w:r w:rsidR="00D63613" w:rsidRPr="00CD6A97">
        <w:rPr>
          <w:rFonts w:cs="Arial"/>
          <w:color w:val="1A1A1A"/>
        </w:rPr>
        <w:t xml:space="preserve"> La propension moyenne à consommer inclut en revanche les effets de la crise, puisque la propension </w:t>
      </w:r>
      <w:r w:rsidR="00D63613" w:rsidRPr="00CD6A97">
        <w:rPr>
          <w:rFonts w:cs="Arial"/>
          <w:color w:val="1A1A1A"/>
          <w:u w:val="single"/>
        </w:rPr>
        <w:t>moyenne</w:t>
      </w:r>
      <w:r w:rsidR="00D63613" w:rsidRPr="00CD6A97">
        <w:rPr>
          <w:rFonts w:cs="Arial"/>
          <w:color w:val="1A1A1A"/>
        </w:rPr>
        <w:t xml:space="preserve"> n’est pas estimée, mais directement issue des données macro OCDE</w:t>
      </w:r>
      <w:r w:rsidR="009F5D54" w:rsidRPr="00CD6A97">
        <w:rPr>
          <w:rFonts w:cs="Arial"/>
          <w:color w:val="1A1A1A"/>
        </w:rPr>
        <w:t xml:space="preserve"> renseignées pour l’ensemble des pays-années de l’échantillon</w:t>
      </w:r>
      <w:r w:rsidR="00D63613" w:rsidRPr="00CD6A97">
        <w:rPr>
          <w:rFonts w:cs="Arial"/>
          <w:color w:val="1A1A1A"/>
        </w:rPr>
        <w:t>.</w:t>
      </w:r>
    </w:p>
    <w:p w14:paraId="236664D6" w14:textId="77777777" w:rsidR="00F14091" w:rsidRDefault="00F14091" w:rsidP="00F14091">
      <w:pPr>
        <w:widowControl w:val="0"/>
        <w:autoSpaceDE w:val="0"/>
        <w:autoSpaceDN w:val="0"/>
        <w:adjustRightInd w:val="0"/>
        <w:spacing w:after="120" w:line="276" w:lineRule="auto"/>
        <w:jc w:val="both"/>
        <w:rPr>
          <w:rFonts w:cs="Arial"/>
          <w:b/>
          <w:color w:val="1A1A1A"/>
        </w:rPr>
      </w:pPr>
    </w:p>
    <w:p w14:paraId="2943F333" w14:textId="22D5F502" w:rsidR="00F14091" w:rsidRPr="00F14091" w:rsidRDefault="00F14091" w:rsidP="002B01DA">
      <w:pPr>
        <w:widowControl w:val="0"/>
        <w:autoSpaceDE w:val="0"/>
        <w:autoSpaceDN w:val="0"/>
        <w:adjustRightInd w:val="0"/>
        <w:spacing w:after="120" w:line="276" w:lineRule="auto"/>
        <w:jc w:val="both"/>
        <w:outlineLvl w:val="0"/>
        <w:rPr>
          <w:rFonts w:cs="Arial"/>
          <w:b/>
          <w:color w:val="1A1A1A"/>
        </w:rPr>
      </w:pPr>
      <w:r>
        <w:rPr>
          <w:rFonts w:cs="Arial"/>
          <w:b/>
          <w:color w:val="1A1A1A"/>
        </w:rPr>
        <w:t>Limites</w:t>
      </w:r>
      <w:r w:rsidR="004806AF">
        <w:rPr>
          <w:rFonts w:cs="Arial"/>
          <w:b/>
          <w:color w:val="1A1A1A"/>
        </w:rPr>
        <w:t xml:space="preserve"> des résultats</w:t>
      </w:r>
    </w:p>
    <w:p w14:paraId="5785BB18" w14:textId="77777777" w:rsidR="006336B8" w:rsidRDefault="004806AF" w:rsidP="00F14091">
      <w:pPr>
        <w:widowControl w:val="0"/>
        <w:autoSpaceDE w:val="0"/>
        <w:autoSpaceDN w:val="0"/>
        <w:adjustRightInd w:val="0"/>
        <w:spacing w:after="120" w:line="276" w:lineRule="auto"/>
        <w:jc w:val="both"/>
        <w:rPr>
          <w:rFonts w:cs="Arial"/>
          <w:color w:val="1A1A1A"/>
        </w:rPr>
      </w:pPr>
      <w:r>
        <w:rPr>
          <w:rFonts w:cs="Arial"/>
          <w:color w:val="1A1A1A"/>
        </w:rPr>
        <w:t xml:space="preserve">La disponibilité des données Eurostat nous a contraint à calculer une propension moyenne à consommer par quantile basée sur le revenu médian du quantile. Par conséquent, </w:t>
      </w:r>
      <w:r w:rsidR="00F14091" w:rsidRPr="00CD6A97">
        <w:rPr>
          <w:rFonts w:cs="Arial"/>
          <w:color w:val="1A1A1A"/>
        </w:rPr>
        <w:t xml:space="preserve">la propension à consommer </w:t>
      </w:r>
      <w:r>
        <w:rPr>
          <w:rFonts w:cs="Arial"/>
          <w:color w:val="1A1A1A"/>
        </w:rPr>
        <w:t xml:space="preserve">est surévaluée </w:t>
      </w:r>
      <w:r w:rsidR="00F14091" w:rsidRPr="00CD6A97">
        <w:rPr>
          <w:rFonts w:cs="Arial"/>
          <w:color w:val="1A1A1A"/>
        </w:rPr>
        <w:t>dans les quantiles avec forte dispersion</w:t>
      </w:r>
      <w:r>
        <w:rPr>
          <w:rFonts w:cs="Arial"/>
          <w:color w:val="1A1A1A"/>
        </w:rPr>
        <w:t xml:space="preserve"> de revenu</w:t>
      </w:r>
      <w:r w:rsidR="00F14091" w:rsidRPr="00CD6A97">
        <w:rPr>
          <w:rFonts w:cs="Arial"/>
          <w:color w:val="1A1A1A"/>
        </w:rPr>
        <w:t xml:space="preserve"> (quand </w:t>
      </w:r>
      <w:r>
        <w:rPr>
          <w:rFonts w:cs="Arial"/>
          <w:color w:val="1A1A1A"/>
        </w:rPr>
        <w:t>le revenu médian est inférieur au revenu moyen), ce qui concerne (</w:t>
      </w:r>
      <w:r w:rsidRPr="004806AF">
        <w:rPr>
          <w:rFonts w:cs="Arial"/>
          <w:color w:val="1A1A1A"/>
          <w:highlight w:val="yellow"/>
        </w:rPr>
        <w:t>a priori</w:t>
      </w:r>
      <w:r>
        <w:rPr>
          <w:rFonts w:cs="Arial"/>
          <w:color w:val="1A1A1A"/>
        </w:rPr>
        <w:t xml:space="preserve">) les quantiles supérieurs </w:t>
      </w:r>
      <w:r w:rsidR="00F14091" w:rsidRPr="00CD6A97">
        <w:rPr>
          <w:rFonts w:cs="Arial"/>
          <w:color w:val="1A1A1A"/>
        </w:rPr>
        <w:t>(</w:t>
      </w:r>
      <w:r>
        <w:rPr>
          <w:rFonts w:cs="Arial"/>
          <w:color w:val="1A1A1A"/>
        </w:rPr>
        <w:t>quatrième et cinquième quantiles</w:t>
      </w:r>
      <w:r w:rsidR="00F14091" w:rsidRPr="00CD6A97">
        <w:rPr>
          <w:rFonts w:cs="Arial"/>
          <w:color w:val="1A1A1A"/>
        </w:rPr>
        <w:t xml:space="preserve">). </w:t>
      </w:r>
      <w:r>
        <w:rPr>
          <w:rFonts w:cs="Arial"/>
          <w:color w:val="1A1A1A"/>
        </w:rPr>
        <w:t>L</w:t>
      </w:r>
      <w:r w:rsidR="00F14091" w:rsidRPr="00CD6A97">
        <w:rPr>
          <w:rFonts w:cs="Arial"/>
          <w:color w:val="1A1A1A"/>
        </w:rPr>
        <w:t>’effet anti-</w:t>
      </w:r>
      <w:proofErr w:type="spellStart"/>
      <w:r w:rsidR="00F14091" w:rsidRPr="00CD6A97">
        <w:rPr>
          <w:rFonts w:cs="Arial"/>
          <w:color w:val="1A1A1A"/>
        </w:rPr>
        <w:t>redistributif</w:t>
      </w:r>
      <w:proofErr w:type="spellEnd"/>
      <w:r w:rsidR="00F14091" w:rsidRPr="00CD6A97">
        <w:rPr>
          <w:rFonts w:cs="Arial"/>
          <w:color w:val="1A1A1A"/>
        </w:rPr>
        <w:t xml:space="preserve"> de la TVA</w:t>
      </w:r>
      <w:r>
        <w:rPr>
          <w:rFonts w:cs="Arial"/>
          <w:color w:val="1A1A1A"/>
        </w:rPr>
        <w:t xml:space="preserve"> lié</w:t>
      </w:r>
      <w:r w:rsidRPr="00CD6A97">
        <w:rPr>
          <w:rFonts w:cs="Arial"/>
          <w:color w:val="1A1A1A"/>
        </w:rPr>
        <w:t xml:space="preserve"> au fait que les riches épargnent davantage que les pauvre</w:t>
      </w:r>
      <w:r>
        <w:rPr>
          <w:rFonts w:cs="Arial"/>
          <w:color w:val="1A1A1A"/>
        </w:rPr>
        <w:t>s</w:t>
      </w:r>
      <w:r w:rsidRPr="00CD6A97">
        <w:rPr>
          <w:rFonts w:cs="Arial"/>
          <w:color w:val="1A1A1A"/>
        </w:rPr>
        <w:t> </w:t>
      </w:r>
      <w:r>
        <w:rPr>
          <w:rFonts w:cs="Arial"/>
          <w:color w:val="1A1A1A"/>
        </w:rPr>
        <w:t>est alors sous-estimé, ce qui introduit un</w:t>
      </w:r>
      <w:r w:rsidR="00F14091" w:rsidRPr="00CD6A97">
        <w:rPr>
          <w:rFonts w:cs="Arial"/>
          <w:color w:val="1A1A1A"/>
        </w:rPr>
        <w:t xml:space="preserve"> </w:t>
      </w:r>
      <w:r w:rsidR="00F14091" w:rsidRPr="00CD6A97">
        <w:rPr>
          <w:rFonts w:cs="Arial"/>
          <w:color w:val="1A1A1A"/>
          <w:u w:val="single"/>
        </w:rPr>
        <w:t>biais conservateur</w:t>
      </w:r>
      <w:r>
        <w:rPr>
          <w:rFonts w:cs="Arial"/>
          <w:color w:val="1A1A1A"/>
        </w:rPr>
        <w:t xml:space="preserve"> à notre analyse des effets de la TVA.</w:t>
      </w:r>
    </w:p>
    <w:p w14:paraId="1E0B31F2" w14:textId="75C18BF6" w:rsidR="00F14091" w:rsidRPr="00CD6A97" w:rsidRDefault="006336B8" w:rsidP="00F14091">
      <w:pPr>
        <w:widowControl w:val="0"/>
        <w:autoSpaceDE w:val="0"/>
        <w:autoSpaceDN w:val="0"/>
        <w:adjustRightInd w:val="0"/>
        <w:spacing w:after="120" w:line="276" w:lineRule="auto"/>
        <w:jc w:val="both"/>
        <w:rPr>
          <w:rFonts w:cs="Arial"/>
          <w:color w:val="1A1A1A"/>
        </w:rPr>
      </w:pPr>
      <w:r>
        <w:rPr>
          <w:rFonts w:cs="Arial"/>
          <w:color w:val="1A1A1A"/>
        </w:rPr>
        <w:t>A titre d’exemple, le Danemark qui a un taux implicite très élevé (28%) mais une propension à consommer constante à travers les revenus, voit un effet anti-</w:t>
      </w:r>
      <w:proofErr w:type="spellStart"/>
      <w:r>
        <w:rPr>
          <w:rFonts w:cs="Arial"/>
          <w:color w:val="1A1A1A"/>
        </w:rPr>
        <w:t>redistributif</w:t>
      </w:r>
      <w:proofErr w:type="spellEnd"/>
      <w:r>
        <w:rPr>
          <w:rFonts w:cs="Arial"/>
          <w:color w:val="1A1A1A"/>
        </w:rPr>
        <w:t xml:space="preserve"> quasi nul de ses taxes à la consommation. A l’opposé la France, qui a un taux implicite bien plus faible (16%) mais une propension à consommer largement décroissante avec le revenu, connaît un effet anti-</w:t>
      </w:r>
      <w:proofErr w:type="spellStart"/>
      <w:r>
        <w:rPr>
          <w:rFonts w:cs="Arial"/>
          <w:color w:val="1A1A1A"/>
        </w:rPr>
        <w:t>redistributif</w:t>
      </w:r>
      <w:proofErr w:type="spellEnd"/>
      <w:r>
        <w:rPr>
          <w:rFonts w:cs="Arial"/>
          <w:color w:val="1A1A1A"/>
        </w:rPr>
        <w:t xml:space="preserve"> plus important (mais qui reste néanmoins dans des ordres de grandeur relativement faible).</w:t>
      </w:r>
    </w:p>
    <w:p w14:paraId="2E87C584" w14:textId="77777777" w:rsidR="00F14091" w:rsidRPr="00CD6A97" w:rsidRDefault="00F14091" w:rsidP="00F14091">
      <w:pPr>
        <w:widowControl w:val="0"/>
        <w:autoSpaceDE w:val="0"/>
        <w:autoSpaceDN w:val="0"/>
        <w:adjustRightInd w:val="0"/>
        <w:spacing w:after="120" w:line="276" w:lineRule="auto"/>
        <w:jc w:val="both"/>
        <w:rPr>
          <w:rFonts w:cs="Arial"/>
          <w:color w:val="1A1A1A"/>
        </w:rPr>
      </w:pPr>
    </w:p>
    <w:p w14:paraId="0B27C7C1" w14:textId="68A1FA86" w:rsidR="00F14091" w:rsidRPr="004806AF" w:rsidRDefault="00F14091" w:rsidP="004806AF">
      <w:pPr>
        <w:widowControl w:val="0"/>
        <w:autoSpaceDE w:val="0"/>
        <w:autoSpaceDN w:val="0"/>
        <w:adjustRightInd w:val="0"/>
        <w:spacing w:after="120" w:line="276" w:lineRule="auto"/>
        <w:jc w:val="both"/>
        <w:rPr>
          <w:rFonts w:cs="Arial"/>
          <w:color w:val="1A1A1A"/>
        </w:rPr>
      </w:pPr>
      <w:r w:rsidRPr="004806AF">
        <w:rPr>
          <w:rFonts w:cs="Arial"/>
          <w:color w:val="1A1A1A"/>
          <w:highlight w:val="yellow"/>
        </w:rPr>
        <w:t>Check à faire : j'ai vu dans sa revue de littérature que Warren (2008) à fait un calcul précis sur Australie. C'est justement un pays qu'on simule, donc à regarder rapidement avant de tirer des conclusions sur nos données TVA.</w:t>
      </w:r>
    </w:p>
    <w:p w14:paraId="74D1B853" w14:textId="77777777" w:rsidR="00F14091" w:rsidRPr="00CD6A97" w:rsidRDefault="00F14091" w:rsidP="00F14091">
      <w:pPr>
        <w:widowControl w:val="0"/>
        <w:autoSpaceDE w:val="0"/>
        <w:autoSpaceDN w:val="0"/>
        <w:adjustRightInd w:val="0"/>
        <w:spacing w:after="120" w:line="276" w:lineRule="auto"/>
        <w:jc w:val="both"/>
        <w:rPr>
          <w:rFonts w:cs="Arial"/>
          <w:color w:val="1A1A1A"/>
        </w:rPr>
      </w:pPr>
    </w:p>
    <w:p w14:paraId="1A076896" w14:textId="77777777" w:rsidR="00F14091" w:rsidRPr="00CD6A97" w:rsidRDefault="00F14091" w:rsidP="00B9039B">
      <w:pPr>
        <w:widowControl w:val="0"/>
        <w:pBdr>
          <w:bottom w:val="single" w:sz="12" w:space="1" w:color="auto"/>
        </w:pBdr>
        <w:autoSpaceDE w:val="0"/>
        <w:autoSpaceDN w:val="0"/>
        <w:adjustRightInd w:val="0"/>
        <w:spacing w:after="120" w:line="276" w:lineRule="auto"/>
        <w:jc w:val="both"/>
        <w:rPr>
          <w:rFonts w:cs="Arial"/>
          <w:b/>
          <w:color w:val="1A1A1A"/>
        </w:rPr>
      </w:pPr>
    </w:p>
    <w:p w14:paraId="6DA57A4A" w14:textId="77777777" w:rsidR="00755C52" w:rsidRPr="00CD6A97" w:rsidRDefault="00755C52" w:rsidP="00B9039B">
      <w:pPr>
        <w:widowControl w:val="0"/>
        <w:autoSpaceDE w:val="0"/>
        <w:autoSpaceDN w:val="0"/>
        <w:adjustRightInd w:val="0"/>
        <w:spacing w:after="120" w:line="276" w:lineRule="auto"/>
        <w:jc w:val="both"/>
        <w:rPr>
          <w:rFonts w:cs="Arial"/>
          <w:b/>
          <w:color w:val="1A1A1A"/>
        </w:rPr>
      </w:pPr>
    </w:p>
    <w:p w14:paraId="4D2BA1DA" w14:textId="1F006814" w:rsidR="00755C52" w:rsidRPr="00CD6A97" w:rsidRDefault="00755C52" w:rsidP="002B01DA">
      <w:pPr>
        <w:widowControl w:val="0"/>
        <w:autoSpaceDE w:val="0"/>
        <w:autoSpaceDN w:val="0"/>
        <w:adjustRightInd w:val="0"/>
        <w:spacing w:after="120" w:line="276" w:lineRule="auto"/>
        <w:jc w:val="both"/>
        <w:outlineLvl w:val="0"/>
        <w:rPr>
          <w:rFonts w:cs="Arial"/>
          <w:b/>
          <w:color w:val="1A1A1A"/>
          <w:u w:val="single"/>
        </w:rPr>
      </w:pPr>
      <w:r w:rsidRPr="00CD6A97">
        <w:rPr>
          <w:rFonts w:cs="Arial"/>
          <w:b/>
          <w:color w:val="1A1A1A"/>
          <w:u w:val="single"/>
        </w:rPr>
        <w:t>Graphiques</w:t>
      </w:r>
    </w:p>
    <w:p w14:paraId="00515D7A" w14:textId="77777777" w:rsidR="00755C52" w:rsidRPr="00CD6A97" w:rsidRDefault="00755C52" w:rsidP="00B9039B">
      <w:pPr>
        <w:widowControl w:val="0"/>
        <w:autoSpaceDE w:val="0"/>
        <w:autoSpaceDN w:val="0"/>
        <w:adjustRightInd w:val="0"/>
        <w:spacing w:after="120" w:line="276" w:lineRule="auto"/>
        <w:jc w:val="both"/>
        <w:rPr>
          <w:rFonts w:cs="Arial"/>
          <w:b/>
          <w:color w:val="1A1A1A"/>
        </w:rPr>
      </w:pPr>
    </w:p>
    <w:p w14:paraId="69926386" w14:textId="75AC34C4" w:rsidR="001B4270" w:rsidRPr="00CD6A97" w:rsidRDefault="005C4FCF" w:rsidP="002B01DA">
      <w:pPr>
        <w:widowControl w:val="0"/>
        <w:autoSpaceDE w:val="0"/>
        <w:autoSpaceDN w:val="0"/>
        <w:adjustRightInd w:val="0"/>
        <w:spacing w:after="120" w:line="276" w:lineRule="auto"/>
        <w:jc w:val="both"/>
        <w:outlineLvl w:val="0"/>
        <w:rPr>
          <w:rFonts w:cs="Arial"/>
          <w:b/>
          <w:color w:val="1A1A1A"/>
        </w:rPr>
      </w:pPr>
      <w:r>
        <w:rPr>
          <w:rFonts w:cs="Arial"/>
          <w:b/>
          <w:color w:val="1A1A1A"/>
        </w:rPr>
        <w:t>Figure A1.</w:t>
      </w:r>
      <w:r w:rsidR="001B4270" w:rsidRPr="00CD6A97">
        <w:rPr>
          <w:rFonts w:cs="Arial"/>
          <w:b/>
          <w:color w:val="1A1A1A"/>
        </w:rPr>
        <w:t xml:space="preserve"> </w:t>
      </w:r>
      <w:proofErr w:type="spellStart"/>
      <w:proofErr w:type="gramStart"/>
      <w:r w:rsidR="001B4270" w:rsidRPr="00CD6A97">
        <w:rPr>
          <w:rFonts w:cs="Arial"/>
          <w:b/>
          <w:color w:val="1A1A1A"/>
        </w:rPr>
        <w:t>apc</w:t>
      </w:r>
      <w:proofErr w:type="gramEnd"/>
      <w:r w:rsidR="001B4270" w:rsidRPr="00CD6A97">
        <w:rPr>
          <w:rFonts w:cs="Arial"/>
          <w:b/>
          <w:color w:val="1A1A1A"/>
        </w:rPr>
        <w:t>_adj</w:t>
      </w:r>
      <w:proofErr w:type="spellEnd"/>
      <w:r w:rsidR="001B4270" w:rsidRPr="00CD6A97">
        <w:rPr>
          <w:rFonts w:cs="Arial"/>
          <w:b/>
          <w:color w:val="1A1A1A"/>
        </w:rPr>
        <w:t xml:space="preserve"> by </w:t>
      </w:r>
      <w:proofErr w:type="spellStart"/>
      <w:r w:rsidR="001B4270" w:rsidRPr="00CD6A97">
        <w:rPr>
          <w:rFonts w:cs="Arial"/>
          <w:b/>
          <w:color w:val="1A1A1A"/>
        </w:rPr>
        <w:t>hh</w:t>
      </w:r>
      <w:proofErr w:type="spellEnd"/>
      <w:r w:rsidR="001B4270" w:rsidRPr="00CD6A97">
        <w:rPr>
          <w:rFonts w:cs="Arial"/>
          <w:b/>
          <w:color w:val="1A1A1A"/>
        </w:rPr>
        <w:t xml:space="preserve"> </w:t>
      </w:r>
      <w:proofErr w:type="spellStart"/>
      <w:r w:rsidR="001B4270" w:rsidRPr="00CD6A97">
        <w:rPr>
          <w:rFonts w:cs="Arial"/>
          <w:b/>
          <w:color w:val="1A1A1A"/>
        </w:rPr>
        <w:t>income</w:t>
      </w:r>
      <w:proofErr w:type="spellEnd"/>
      <w:r w:rsidR="006C4312">
        <w:rPr>
          <w:rFonts w:cs="Arial"/>
          <w:b/>
          <w:color w:val="1A1A1A"/>
        </w:rPr>
        <w:t xml:space="preserve"> (LIS </w:t>
      </w:r>
      <w:proofErr w:type="spellStart"/>
      <w:r w:rsidR="006C4312">
        <w:rPr>
          <w:rFonts w:cs="Arial"/>
          <w:b/>
          <w:color w:val="1A1A1A"/>
        </w:rPr>
        <w:t>sample</w:t>
      </w:r>
      <w:proofErr w:type="spellEnd"/>
      <w:r w:rsidR="006C4312">
        <w:rPr>
          <w:rFonts w:cs="Arial"/>
          <w:b/>
          <w:color w:val="1A1A1A"/>
        </w:rPr>
        <w:t xml:space="preserve"> + PT + BE </w:t>
      </w:r>
      <w:proofErr w:type="spellStart"/>
      <w:r w:rsidR="006C4312">
        <w:rPr>
          <w:rFonts w:cs="Arial"/>
          <w:b/>
          <w:color w:val="1A1A1A"/>
        </w:rPr>
        <w:t>used</w:t>
      </w:r>
      <w:proofErr w:type="spellEnd"/>
      <w:r w:rsidR="006C4312">
        <w:rPr>
          <w:rFonts w:cs="Arial"/>
          <w:b/>
          <w:color w:val="1A1A1A"/>
        </w:rPr>
        <w:t xml:space="preserve"> to </w:t>
      </w:r>
      <w:proofErr w:type="spellStart"/>
      <w:r w:rsidR="006C4312">
        <w:rPr>
          <w:rFonts w:cs="Arial"/>
          <w:b/>
          <w:color w:val="1A1A1A"/>
        </w:rPr>
        <w:t>compute</w:t>
      </w:r>
      <w:proofErr w:type="spellEnd"/>
      <w:r w:rsidR="006C4312">
        <w:rPr>
          <w:rFonts w:cs="Arial"/>
          <w:b/>
          <w:color w:val="1A1A1A"/>
        </w:rPr>
        <w:t xml:space="preserve"> the </w:t>
      </w:r>
      <w:proofErr w:type="spellStart"/>
      <w:r w:rsidR="006C4312">
        <w:rPr>
          <w:rFonts w:cs="Arial"/>
          <w:b/>
          <w:color w:val="1A1A1A"/>
        </w:rPr>
        <w:t>sample</w:t>
      </w:r>
      <w:proofErr w:type="spellEnd"/>
      <w:r w:rsidR="006C4312">
        <w:rPr>
          <w:rFonts w:cs="Arial"/>
          <w:b/>
          <w:color w:val="1A1A1A"/>
        </w:rPr>
        <w:t xml:space="preserve"> marginal </w:t>
      </w:r>
      <w:proofErr w:type="spellStart"/>
      <w:r w:rsidR="006C4312">
        <w:rPr>
          <w:rFonts w:cs="Arial"/>
          <w:b/>
          <w:color w:val="1A1A1A"/>
        </w:rPr>
        <w:t>propensity</w:t>
      </w:r>
      <w:proofErr w:type="spellEnd"/>
      <w:r w:rsidR="006C4312">
        <w:rPr>
          <w:rFonts w:cs="Arial"/>
          <w:b/>
          <w:color w:val="1A1A1A"/>
        </w:rPr>
        <w:t xml:space="preserve"> to consume)</w:t>
      </w:r>
    </w:p>
    <w:p w14:paraId="2FC7D617" w14:textId="32A33351" w:rsidR="001B4270" w:rsidRPr="00CD6A97" w:rsidRDefault="005C4FCF" w:rsidP="00B9039B">
      <w:pPr>
        <w:widowControl w:val="0"/>
        <w:autoSpaceDE w:val="0"/>
        <w:autoSpaceDN w:val="0"/>
        <w:adjustRightInd w:val="0"/>
        <w:spacing w:after="120" w:line="276" w:lineRule="auto"/>
        <w:jc w:val="both"/>
        <w:rPr>
          <w:rFonts w:cs="Arial"/>
          <w:b/>
          <w:color w:val="1A1A1A"/>
        </w:rPr>
      </w:pPr>
      <w:r>
        <w:rPr>
          <w:rFonts w:cs="Arial"/>
          <w:b/>
          <w:noProof/>
          <w:color w:val="1A1A1A"/>
          <w:lang w:eastAsia="fr-FR"/>
        </w:rPr>
        <w:drawing>
          <wp:inline distT="0" distB="0" distL="0" distR="0" wp14:anchorId="39F475A8" wp14:editId="5A42F932">
            <wp:extent cx="6300896" cy="45847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c_adj by hhincome reduced sample sj.pdf"/>
                    <pic:cNvPicPr/>
                  </pic:nvPicPr>
                  <pic:blipFill>
                    <a:blip r:embed="rId5">
                      <a:extLst>
                        <a:ext uri="{28A0092B-C50C-407E-A947-70E740481C1C}">
                          <a14:useLocalDpi xmlns:a14="http://schemas.microsoft.com/office/drawing/2010/main" val="0"/>
                        </a:ext>
                      </a:extLst>
                    </a:blip>
                    <a:stretch>
                      <a:fillRect/>
                    </a:stretch>
                  </pic:blipFill>
                  <pic:spPr>
                    <a:xfrm>
                      <a:off x="0" y="0"/>
                      <a:ext cx="6303437" cy="4586549"/>
                    </a:xfrm>
                    <a:prstGeom prst="rect">
                      <a:avLst/>
                    </a:prstGeom>
                  </pic:spPr>
                </pic:pic>
              </a:graphicData>
            </a:graphic>
          </wp:inline>
        </w:drawing>
      </w:r>
    </w:p>
    <w:p w14:paraId="206CFC8F" w14:textId="73204CA1" w:rsidR="001B4270" w:rsidRDefault="00591D19" w:rsidP="00B9039B">
      <w:pPr>
        <w:widowControl w:val="0"/>
        <w:autoSpaceDE w:val="0"/>
        <w:autoSpaceDN w:val="0"/>
        <w:adjustRightInd w:val="0"/>
        <w:spacing w:after="120" w:line="276" w:lineRule="auto"/>
        <w:jc w:val="both"/>
        <w:rPr>
          <w:rFonts w:cs="Arial"/>
          <w:b/>
          <w:color w:val="1A1A1A"/>
        </w:rPr>
      </w:pPr>
      <w:r w:rsidRPr="00CD6A97">
        <w:rPr>
          <w:rFonts w:cs="Arial"/>
          <w:b/>
          <w:color w:val="1A1A1A"/>
        </w:rPr>
        <w:t xml:space="preserve">+ </w:t>
      </w:r>
      <w:proofErr w:type="spellStart"/>
      <w:r w:rsidR="006477FF" w:rsidRPr="00CD6A97">
        <w:rPr>
          <w:rFonts w:cs="Arial"/>
          <w:b/>
          <w:color w:val="1A1A1A"/>
        </w:rPr>
        <w:t>apc</w:t>
      </w:r>
      <w:proofErr w:type="spellEnd"/>
      <w:r w:rsidR="006477FF" w:rsidRPr="00CD6A97">
        <w:rPr>
          <w:rFonts w:cs="Arial"/>
          <w:b/>
          <w:color w:val="1A1A1A"/>
        </w:rPr>
        <w:t xml:space="preserve"> </w:t>
      </w:r>
      <w:r w:rsidRPr="00CD6A97">
        <w:rPr>
          <w:rFonts w:cs="Arial"/>
          <w:b/>
          <w:color w:val="1A1A1A"/>
        </w:rPr>
        <w:t xml:space="preserve">simulation du </w:t>
      </w:r>
      <w:proofErr w:type="spellStart"/>
      <w:r w:rsidRPr="00CD6A97">
        <w:rPr>
          <w:rFonts w:cs="Arial"/>
          <w:b/>
          <w:color w:val="1A1A1A"/>
        </w:rPr>
        <w:t>lrfit</w:t>
      </w:r>
      <w:proofErr w:type="spellEnd"/>
      <w:r w:rsidR="006C4F25">
        <w:rPr>
          <w:rFonts w:cs="Arial"/>
          <w:b/>
          <w:color w:val="1A1A1A"/>
        </w:rPr>
        <w:t xml:space="preserve"> (en log, </w:t>
      </w:r>
      <w:proofErr w:type="spellStart"/>
      <w:r w:rsidR="006C4F25">
        <w:rPr>
          <w:rFonts w:cs="Arial"/>
          <w:b/>
          <w:color w:val="1A1A1A"/>
        </w:rPr>
        <w:t>inc</w:t>
      </w:r>
      <w:proofErr w:type="spellEnd"/>
      <w:r w:rsidR="006C4F25">
        <w:rPr>
          <w:rFonts w:cs="Arial"/>
          <w:b/>
          <w:color w:val="1A1A1A"/>
        </w:rPr>
        <w:t xml:space="preserve"> normalisé)</w:t>
      </w:r>
    </w:p>
    <w:p w14:paraId="2D281B43" w14:textId="0BABF447" w:rsidR="00410857" w:rsidRPr="00CD6A97" w:rsidRDefault="00410857" w:rsidP="00B9039B">
      <w:pPr>
        <w:widowControl w:val="0"/>
        <w:autoSpaceDE w:val="0"/>
        <w:autoSpaceDN w:val="0"/>
        <w:adjustRightInd w:val="0"/>
        <w:spacing w:after="120" w:line="276" w:lineRule="auto"/>
        <w:jc w:val="both"/>
        <w:rPr>
          <w:rFonts w:cs="Arial"/>
          <w:b/>
          <w:color w:val="1A1A1A"/>
        </w:rPr>
      </w:pPr>
      <w:r>
        <w:rPr>
          <w:rFonts w:cs="Arial"/>
          <w:b/>
          <w:noProof/>
          <w:color w:val="1A1A1A"/>
          <w:lang w:eastAsia="fr-FR"/>
        </w:rPr>
        <w:drawing>
          <wp:inline distT="0" distB="0" distL="0" distR="0" wp14:anchorId="5EC6FB6B" wp14:editId="00D5AC5C">
            <wp:extent cx="3263900" cy="2374900"/>
            <wp:effectExtent l="0" t="0" r="1270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fit log apc by hhincome reduced sample sj.pdf"/>
                    <pic:cNvPicPr/>
                  </pic:nvPicPr>
                  <pic:blipFill>
                    <a:blip r:embed="rId6">
                      <a:extLst>
                        <a:ext uri="{28A0092B-C50C-407E-A947-70E740481C1C}">
                          <a14:useLocalDpi xmlns:a14="http://schemas.microsoft.com/office/drawing/2010/main" val="0"/>
                        </a:ext>
                      </a:extLst>
                    </a:blip>
                    <a:stretch>
                      <a:fillRect/>
                    </a:stretch>
                  </pic:blipFill>
                  <pic:spPr>
                    <a:xfrm>
                      <a:off x="0" y="0"/>
                      <a:ext cx="3263900" cy="2374900"/>
                    </a:xfrm>
                    <a:prstGeom prst="rect">
                      <a:avLst/>
                    </a:prstGeom>
                  </pic:spPr>
                </pic:pic>
              </a:graphicData>
            </a:graphic>
          </wp:inline>
        </w:drawing>
      </w:r>
    </w:p>
    <w:p w14:paraId="3928AD7B" w14:textId="7BC299E4" w:rsidR="006C4F25" w:rsidRDefault="006C4F25" w:rsidP="00080464">
      <w:pPr>
        <w:spacing w:after="120" w:line="276" w:lineRule="auto"/>
        <w:jc w:val="both"/>
        <w:rPr>
          <w:rFonts w:cs="Arial"/>
          <w:b/>
          <w:color w:val="1A1A1A"/>
        </w:rPr>
      </w:pPr>
      <w:r>
        <w:rPr>
          <w:rFonts w:cs="Arial"/>
          <w:b/>
          <w:color w:val="1A1A1A"/>
        </w:rPr>
        <w:t xml:space="preserve">+ </w:t>
      </w:r>
      <w:proofErr w:type="spellStart"/>
      <w:r>
        <w:rPr>
          <w:rFonts w:cs="Arial"/>
          <w:b/>
          <w:color w:val="1A1A1A"/>
        </w:rPr>
        <w:t>apc</w:t>
      </w:r>
      <w:proofErr w:type="spellEnd"/>
      <w:r>
        <w:rPr>
          <w:rFonts w:cs="Arial"/>
          <w:b/>
          <w:color w:val="1A1A1A"/>
        </w:rPr>
        <w:t xml:space="preserve"> simulé pour les pays manquants (US, </w:t>
      </w:r>
      <w:proofErr w:type="gramStart"/>
      <w:r>
        <w:rPr>
          <w:rFonts w:cs="Arial"/>
          <w:b/>
          <w:color w:val="1A1A1A"/>
        </w:rPr>
        <w:t>CA</w:t>
      </w:r>
      <w:proofErr w:type="gramEnd"/>
      <w:r>
        <w:rPr>
          <w:rFonts w:cs="Arial"/>
          <w:b/>
          <w:color w:val="1A1A1A"/>
        </w:rPr>
        <w:t>, AU, SW, IS)</w:t>
      </w:r>
    </w:p>
    <w:p w14:paraId="1558690B" w14:textId="7ADB92DB" w:rsidR="006C4F25" w:rsidRDefault="006C4F25" w:rsidP="00080464">
      <w:pPr>
        <w:spacing w:after="120" w:line="276" w:lineRule="auto"/>
        <w:jc w:val="both"/>
        <w:rPr>
          <w:rFonts w:cs="Arial"/>
          <w:b/>
          <w:color w:val="1A1A1A"/>
        </w:rPr>
      </w:pPr>
      <w:r>
        <w:rPr>
          <w:rFonts w:cs="Arial"/>
          <w:b/>
          <w:noProof/>
          <w:color w:val="1A1A1A"/>
          <w:lang w:eastAsia="fr-FR"/>
        </w:rPr>
        <w:drawing>
          <wp:inline distT="0" distB="0" distL="0" distR="0" wp14:anchorId="549DE640" wp14:editId="52AE24B0">
            <wp:extent cx="3263900" cy="23749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fit total stdf forecast US CA SW IS sj.pdf"/>
                    <pic:cNvPicPr/>
                  </pic:nvPicPr>
                  <pic:blipFill>
                    <a:blip r:embed="rId7">
                      <a:extLst>
                        <a:ext uri="{28A0092B-C50C-407E-A947-70E740481C1C}">
                          <a14:useLocalDpi xmlns:a14="http://schemas.microsoft.com/office/drawing/2010/main" val="0"/>
                        </a:ext>
                      </a:extLst>
                    </a:blip>
                    <a:stretch>
                      <a:fillRect/>
                    </a:stretch>
                  </pic:blipFill>
                  <pic:spPr>
                    <a:xfrm>
                      <a:off x="0" y="0"/>
                      <a:ext cx="3263900" cy="2374900"/>
                    </a:xfrm>
                    <a:prstGeom prst="rect">
                      <a:avLst/>
                    </a:prstGeom>
                  </pic:spPr>
                </pic:pic>
              </a:graphicData>
            </a:graphic>
          </wp:inline>
        </w:drawing>
      </w:r>
    </w:p>
    <w:p w14:paraId="606C2FE2" w14:textId="68941E39" w:rsidR="00080464" w:rsidRPr="00CD6A97" w:rsidRDefault="00080464" w:rsidP="00080464">
      <w:pPr>
        <w:spacing w:after="120" w:line="276" w:lineRule="auto"/>
        <w:jc w:val="both"/>
        <w:rPr>
          <w:rFonts w:cs="Arial"/>
          <w:b/>
          <w:color w:val="1A1A1A"/>
        </w:rPr>
      </w:pPr>
      <w:proofErr w:type="gramStart"/>
      <w:r w:rsidRPr="006C4F25">
        <w:rPr>
          <w:rFonts w:cs="Arial"/>
          <w:b/>
          <w:color w:val="1A1A1A"/>
          <w:highlight w:val="yellow"/>
        </w:rPr>
        <w:t>graph</w:t>
      </w:r>
      <w:proofErr w:type="gramEnd"/>
      <w:r w:rsidRPr="006C4F25">
        <w:rPr>
          <w:rFonts w:cs="Arial"/>
          <w:b/>
          <w:color w:val="1A1A1A"/>
          <w:highlight w:val="yellow"/>
        </w:rPr>
        <w:t xml:space="preserve"> des taux implicites de </w:t>
      </w:r>
      <w:proofErr w:type="spellStart"/>
      <w:r w:rsidRPr="006C4F25">
        <w:rPr>
          <w:rFonts w:cs="Arial"/>
          <w:b/>
          <w:color w:val="1A1A1A"/>
          <w:highlight w:val="yellow"/>
        </w:rPr>
        <w:t>tVA</w:t>
      </w:r>
      <w:proofErr w:type="spellEnd"/>
      <w:r w:rsidRPr="006C4F25">
        <w:rPr>
          <w:rFonts w:cs="Arial"/>
          <w:b/>
          <w:color w:val="1A1A1A"/>
          <w:highlight w:val="yellow"/>
        </w:rPr>
        <w:t>, peut être en histogramme.</w:t>
      </w:r>
    </w:p>
    <w:p w14:paraId="6E87DECC" w14:textId="77777777" w:rsidR="00591D19" w:rsidRPr="00CD6A97" w:rsidRDefault="00591D19" w:rsidP="00B9039B">
      <w:pPr>
        <w:widowControl w:val="0"/>
        <w:autoSpaceDE w:val="0"/>
        <w:autoSpaceDN w:val="0"/>
        <w:adjustRightInd w:val="0"/>
        <w:spacing w:after="120" w:line="276" w:lineRule="auto"/>
        <w:jc w:val="both"/>
        <w:rPr>
          <w:rFonts w:cs="Arial"/>
          <w:color w:val="1A1A1A"/>
        </w:rPr>
      </w:pPr>
    </w:p>
    <w:p w14:paraId="601B51DA" w14:textId="77777777" w:rsidR="00080464" w:rsidRPr="00080464" w:rsidRDefault="00080464" w:rsidP="002B01DA">
      <w:pPr>
        <w:widowControl w:val="0"/>
        <w:autoSpaceDE w:val="0"/>
        <w:autoSpaceDN w:val="0"/>
        <w:adjustRightInd w:val="0"/>
        <w:spacing w:after="120" w:line="276" w:lineRule="auto"/>
        <w:jc w:val="both"/>
        <w:outlineLvl w:val="0"/>
        <w:rPr>
          <w:rFonts w:cs="Arial"/>
          <w:color w:val="1A1A1A"/>
          <w:u w:val="single"/>
        </w:rPr>
      </w:pPr>
      <w:r w:rsidRPr="00080464">
        <w:rPr>
          <w:rFonts w:cs="Arial"/>
          <w:color w:val="1A1A1A"/>
          <w:u w:val="single"/>
        </w:rPr>
        <w:t>Notes pour les graphiques :</w:t>
      </w:r>
    </w:p>
    <w:p w14:paraId="7DA9A11A" w14:textId="0D342EEF" w:rsidR="00080464" w:rsidRPr="00080464" w:rsidRDefault="00080464" w:rsidP="00080464">
      <w:pPr>
        <w:pStyle w:val="Pardeliste"/>
        <w:widowControl w:val="0"/>
        <w:numPr>
          <w:ilvl w:val="0"/>
          <w:numId w:val="2"/>
        </w:numPr>
        <w:autoSpaceDE w:val="0"/>
        <w:autoSpaceDN w:val="0"/>
        <w:adjustRightInd w:val="0"/>
        <w:spacing w:after="120" w:line="276" w:lineRule="auto"/>
        <w:jc w:val="both"/>
        <w:rPr>
          <w:rFonts w:cs="Arial"/>
          <w:color w:val="1A1A1A"/>
        </w:rPr>
      </w:pPr>
      <w:r w:rsidRPr="00080464">
        <w:rPr>
          <w:rFonts w:cs="Arial"/>
          <w:color w:val="1A1A1A"/>
        </w:rPr>
        <w:t>L'impact de la crise de 2008 est assez homogène :</w:t>
      </w:r>
      <w:r>
        <w:rPr>
          <w:rFonts w:cs="Arial"/>
          <w:color w:val="1A1A1A"/>
        </w:rPr>
        <w:t xml:space="preserve"> pour les pays ayant une</w:t>
      </w:r>
      <w:r w:rsidRPr="00080464">
        <w:rPr>
          <w:rFonts w:cs="Arial"/>
          <w:color w:val="1A1A1A"/>
        </w:rPr>
        <w:t xml:space="preserve"> </w:t>
      </w:r>
      <w:r>
        <w:rPr>
          <w:rFonts w:cs="Arial"/>
          <w:color w:val="1A1A1A"/>
        </w:rPr>
        <w:t>propension marginale à consommer</w:t>
      </w:r>
      <w:r w:rsidR="00EE2597">
        <w:rPr>
          <w:rFonts w:cs="Arial"/>
          <w:color w:val="1A1A1A"/>
        </w:rPr>
        <w:t xml:space="preserve"> largement</w:t>
      </w:r>
      <w:r w:rsidRPr="00080464">
        <w:rPr>
          <w:rFonts w:cs="Arial"/>
          <w:color w:val="1A1A1A"/>
        </w:rPr>
        <w:t xml:space="preserve"> </w:t>
      </w:r>
      <w:r w:rsidR="00EE2597">
        <w:rPr>
          <w:rFonts w:cs="Arial"/>
          <w:color w:val="1A1A1A"/>
        </w:rPr>
        <w:t xml:space="preserve">négative </w:t>
      </w:r>
      <w:r w:rsidRPr="00080464">
        <w:rPr>
          <w:rFonts w:cs="Arial"/>
          <w:color w:val="1A1A1A"/>
        </w:rPr>
        <w:t xml:space="preserve">avant la crise, </w:t>
      </w:r>
      <w:r>
        <w:rPr>
          <w:rFonts w:cs="Arial"/>
          <w:color w:val="1A1A1A"/>
        </w:rPr>
        <w:t>celle-ci</w:t>
      </w:r>
      <w:r w:rsidRPr="00080464">
        <w:rPr>
          <w:rFonts w:cs="Arial"/>
          <w:color w:val="1A1A1A"/>
        </w:rPr>
        <w:t xml:space="preserve"> </w:t>
      </w:r>
      <w:r w:rsidR="00EE2597">
        <w:rPr>
          <w:rFonts w:cs="Arial"/>
          <w:color w:val="1A1A1A"/>
        </w:rPr>
        <w:t>converge vers</w:t>
      </w:r>
      <w:r w:rsidRPr="00080464">
        <w:rPr>
          <w:rFonts w:cs="Arial"/>
          <w:color w:val="1A1A1A"/>
        </w:rPr>
        <w:t xml:space="preserve"> zé</w:t>
      </w:r>
      <w:r>
        <w:rPr>
          <w:rFonts w:cs="Arial"/>
          <w:color w:val="1A1A1A"/>
        </w:rPr>
        <w:t xml:space="preserve">ro </w:t>
      </w:r>
      <w:r w:rsidR="00EE2597">
        <w:rPr>
          <w:rFonts w:cs="Arial"/>
          <w:color w:val="1A1A1A"/>
        </w:rPr>
        <w:t xml:space="preserve">en 2010 </w:t>
      </w:r>
      <w:r>
        <w:rPr>
          <w:rFonts w:cs="Arial"/>
          <w:color w:val="1A1A1A"/>
        </w:rPr>
        <w:t xml:space="preserve">(d'où une </w:t>
      </w:r>
      <w:r w:rsidR="00EE2597">
        <w:rPr>
          <w:rFonts w:cs="Arial"/>
          <w:color w:val="1A1A1A"/>
        </w:rPr>
        <w:t>p</w:t>
      </w:r>
      <w:r>
        <w:rPr>
          <w:rFonts w:cs="Arial"/>
          <w:color w:val="1A1A1A"/>
        </w:rPr>
        <w:t>ropension à consommer</w:t>
      </w:r>
      <w:r w:rsidR="00EE2597">
        <w:rPr>
          <w:rFonts w:cs="Arial"/>
          <w:color w:val="1A1A1A"/>
        </w:rPr>
        <w:t xml:space="preserve"> quasi constante par niveau de revenu</w:t>
      </w:r>
      <w:r w:rsidRPr="00080464">
        <w:rPr>
          <w:rFonts w:cs="Arial"/>
          <w:color w:val="1A1A1A"/>
        </w:rPr>
        <w:t xml:space="preserve">). Pour les pays à </w:t>
      </w:r>
      <w:r w:rsidR="00EE2597">
        <w:rPr>
          <w:rFonts w:cs="Arial"/>
          <w:color w:val="1A1A1A"/>
        </w:rPr>
        <w:t>propension marginale à consommer</w:t>
      </w:r>
      <w:r w:rsidR="00EE2597" w:rsidRPr="00080464">
        <w:rPr>
          <w:rFonts w:cs="Arial"/>
          <w:color w:val="1A1A1A"/>
        </w:rPr>
        <w:t xml:space="preserve"> </w:t>
      </w:r>
      <w:r w:rsidRPr="00080464">
        <w:rPr>
          <w:rFonts w:cs="Arial"/>
          <w:color w:val="1A1A1A"/>
        </w:rPr>
        <w:t xml:space="preserve">relativement faible </w:t>
      </w:r>
      <w:r w:rsidR="00EE2597">
        <w:rPr>
          <w:rFonts w:cs="Arial"/>
          <w:color w:val="1A1A1A"/>
        </w:rPr>
        <w:t xml:space="preserve">en valeur absolue </w:t>
      </w:r>
      <w:r w:rsidRPr="00080464">
        <w:rPr>
          <w:rFonts w:cs="Arial"/>
          <w:color w:val="1A1A1A"/>
        </w:rPr>
        <w:t xml:space="preserve">(déjà proche de zéro), </w:t>
      </w:r>
      <w:r w:rsidR="00EE2597">
        <w:rPr>
          <w:rFonts w:cs="Arial"/>
          <w:color w:val="1A1A1A"/>
        </w:rPr>
        <w:t xml:space="preserve">celle-ci devient positive après la crise : la </w:t>
      </w:r>
      <w:r w:rsidRPr="00080464">
        <w:rPr>
          <w:rFonts w:cs="Arial"/>
          <w:color w:val="1A1A1A"/>
        </w:rPr>
        <w:t>propension à co</w:t>
      </w:r>
      <w:r w:rsidR="00EE2597">
        <w:rPr>
          <w:rFonts w:cs="Arial"/>
          <w:color w:val="1A1A1A"/>
        </w:rPr>
        <w:t>nsommer augmente alors avec le revenu</w:t>
      </w:r>
      <w:r w:rsidRPr="00080464">
        <w:rPr>
          <w:rFonts w:cs="Arial"/>
          <w:color w:val="1A1A1A"/>
        </w:rPr>
        <w:t xml:space="preserve">. </w:t>
      </w:r>
      <w:r w:rsidR="00EE2597">
        <w:rPr>
          <w:rFonts w:cs="Arial"/>
          <w:color w:val="1A1A1A"/>
        </w:rPr>
        <w:t>Une</w:t>
      </w:r>
      <w:r w:rsidRPr="00080464">
        <w:rPr>
          <w:rFonts w:cs="Arial"/>
          <w:color w:val="1A1A1A"/>
        </w:rPr>
        <w:t xml:space="preserve"> interprétation</w:t>
      </w:r>
      <w:r w:rsidR="00EE2597">
        <w:rPr>
          <w:rFonts w:cs="Arial"/>
          <w:color w:val="1A1A1A"/>
        </w:rPr>
        <w:t xml:space="preserve"> possible</w:t>
      </w:r>
      <w:r w:rsidRPr="00080464">
        <w:rPr>
          <w:rFonts w:cs="Arial"/>
          <w:color w:val="1A1A1A"/>
        </w:rPr>
        <w:t xml:space="preserve"> est que les</w:t>
      </w:r>
      <w:r w:rsidR="00EE2597">
        <w:rPr>
          <w:rFonts w:cs="Arial"/>
          <w:color w:val="1A1A1A"/>
        </w:rPr>
        <w:t xml:space="preserve"> ménages</w:t>
      </w:r>
      <w:r w:rsidRPr="00080464">
        <w:rPr>
          <w:rFonts w:cs="Arial"/>
          <w:color w:val="1A1A1A"/>
        </w:rPr>
        <w:t xml:space="preserve"> </w:t>
      </w:r>
      <w:r w:rsidR="00EE2597">
        <w:rPr>
          <w:rFonts w:cs="Arial"/>
          <w:color w:val="1A1A1A"/>
        </w:rPr>
        <w:t>riches</w:t>
      </w:r>
      <w:r w:rsidRPr="00080464">
        <w:rPr>
          <w:rFonts w:cs="Arial"/>
          <w:color w:val="1A1A1A"/>
        </w:rPr>
        <w:t xml:space="preserve"> n'ont pas changé leur comportement de consommation après la crise, alors que leur revenu a été affecté négativement par la crise.</w:t>
      </w:r>
      <w:r w:rsidR="00EE2597">
        <w:rPr>
          <w:rFonts w:cs="Arial"/>
          <w:color w:val="1A1A1A"/>
        </w:rPr>
        <w:t xml:space="preserve"> Une </w:t>
      </w:r>
      <w:r w:rsidR="00F40529">
        <w:rPr>
          <w:rFonts w:cs="Arial"/>
          <w:color w:val="1A1A1A"/>
        </w:rPr>
        <w:t xml:space="preserve">autre </w:t>
      </w:r>
      <w:r w:rsidR="00EE2597">
        <w:rPr>
          <w:rFonts w:cs="Arial"/>
          <w:color w:val="1A1A1A"/>
        </w:rPr>
        <w:t xml:space="preserve">interprétation, </w:t>
      </w:r>
      <w:r w:rsidR="00F40529">
        <w:rPr>
          <w:rFonts w:cs="Arial"/>
          <w:color w:val="1A1A1A"/>
        </w:rPr>
        <w:t>compatible avec la précédente</w:t>
      </w:r>
      <w:r w:rsidR="00EE2597">
        <w:rPr>
          <w:rFonts w:cs="Arial"/>
          <w:color w:val="1A1A1A"/>
        </w:rPr>
        <w:t xml:space="preserve">, </w:t>
      </w:r>
      <w:r w:rsidR="00F40529">
        <w:rPr>
          <w:rFonts w:cs="Arial"/>
          <w:color w:val="1A1A1A"/>
        </w:rPr>
        <w:t>considère l’impact</w:t>
      </w:r>
      <w:r w:rsidR="00EE2597">
        <w:rPr>
          <w:rFonts w:cs="Arial"/>
          <w:color w:val="1A1A1A"/>
        </w:rPr>
        <w:t xml:space="preserve"> </w:t>
      </w:r>
      <w:r w:rsidR="00F40529">
        <w:rPr>
          <w:rFonts w:cs="Arial"/>
          <w:color w:val="1A1A1A"/>
        </w:rPr>
        <w:t>de la comptabilisation, dans la consommation des ménages, des</w:t>
      </w:r>
      <w:r w:rsidR="00EE2597">
        <w:rPr>
          <w:rFonts w:cs="Arial"/>
          <w:color w:val="1A1A1A"/>
        </w:rPr>
        <w:t xml:space="preserve"> loyers </w:t>
      </w:r>
      <w:r w:rsidR="00F40529">
        <w:rPr>
          <w:rFonts w:cs="Arial"/>
          <w:color w:val="1A1A1A"/>
        </w:rPr>
        <w:t>imputés</w:t>
      </w:r>
      <w:r w:rsidR="00EE2597">
        <w:rPr>
          <w:rFonts w:cs="Arial"/>
          <w:color w:val="1A1A1A"/>
        </w:rPr>
        <w:t xml:space="preserve"> pour l’utilisation de logements occupés par l</w:t>
      </w:r>
      <w:r w:rsidR="00F40529">
        <w:rPr>
          <w:rFonts w:cs="Arial"/>
          <w:color w:val="1A1A1A"/>
        </w:rPr>
        <w:t>eur propriétaire</w:t>
      </w:r>
      <w:r w:rsidR="00EE2597">
        <w:rPr>
          <w:rFonts w:cs="Arial"/>
          <w:color w:val="1A1A1A"/>
        </w:rPr>
        <w:t xml:space="preserve"> </w:t>
      </w:r>
      <w:r w:rsidR="00F40529" w:rsidRPr="00F40529">
        <w:rPr>
          <w:rFonts w:cs="Arial"/>
          <w:color w:val="1A1A1A"/>
        </w:rPr>
        <w:t>comme</w:t>
      </w:r>
      <w:r w:rsidR="00F40529">
        <w:rPr>
          <w:rFonts w:cs="Arial"/>
          <w:color w:val="1A1A1A"/>
        </w:rPr>
        <w:t xml:space="preserve"> résidence principale. Ainsi,</w:t>
      </w:r>
      <w:r w:rsidR="00EE2597">
        <w:rPr>
          <w:rFonts w:cs="Arial"/>
          <w:color w:val="1A1A1A"/>
        </w:rPr>
        <w:t xml:space="preserve"> la baisse de la consommation totale</w:t>
      </w:r>
      <w:r w:rsidR="00F40529">
        <w:rPr>
          <w:rFonts w:cs="Arial"/>
          <w:color w:val="1A1A1A"/>
        </w:rPr>
        <w:t xml:space="preserve"> (incluant ces loyers fictifs)</w:t>
      </w:r>
      <w:r w:rsidR="00EE2597">
        <w:rPr>
          <w:rFonts w:cs="Arial"/>
          <w:color w:val="1A1A1A"/>
        </w:rPr>
        <w:t xml:space="preserve"> est </w:t>
      </w:r>
      <w:r w:rsidR="00F40529">
        <w:rPr>
          <w:rFonts w:cs="Arial"/>
          <w:color w:val="1A1A1A"/>
        </w:rPr>
        <w:t>moins</w:t>
      </w:r>
      <w:r w:rsidR="00EE2597">
        <w:rPr>
          <w:rFonts w:cs="Arial"/>
          <w:color w:val="1A1A1A"/>
        </w:rPr>
        <w:t xml:space="preserve"> importante pour les </w:t>
      </w:r>
      <w:r w:rsidR="00F40529">
        <w:rPr>
          <w:rFonts w:cs="Arial"/>
          <w:color w:val="1A1A1A"/>
        </w:rPr>
        <w:t>ménages propriétaires, dont la distribution est asymétrique.</w:t>
      </w:r>
    </w:p>
    <w:p w14:paraId="16298E5E" w14:textId="77777777" w:rsidR="00B3575D" w:rsidRDefault="008968FD" w:rsidP="00080464">
      <w:pPr>
        <w:pStyle w:val="Pardeliste"/>
        <w:widowControl w:val="0"/>
        <w:numPr>
          <w:ilvl w:val="0"/>
          <w:numId w:val="2"/>
        </w:numPr>
        <w:autoSpaceDE w:val="0"/>
        <w:autoSpaceDN w:val="0"/>
        <w:adjustRightInd w:val="0"/>
        <w:spacing w:after="120" w:line="276" w:lineRule="auto"/>
        <w:jc w:val="both"/>
        <w:rPr>
          <w:rFonts w:cs="Arial"/>
          <w:color w:val="1A1A1A"/>
        </w:rPr>
      </w:pPr>
      <w:r>
        <w:rPr>
          <w:rFonts w:cs="Arial"/>
          <w:color w:val="1A1A1A"/>
        </w:rPr>
        <w:t>On remarque que</w:t>
      </w:r>
      <w:r w:rsidRPr="008968FD">
        <w:rPr>
          <w:rFonts w:cs="Arial"/>
          <w:color w:val="1A1A1A"/>
        </w:rPr>
        <w:t xml:space="preserve"> les pays d'Europe de l'Est (sauf la Pologne) ont tous</w:t>
      </w:r>
      <w:r>
        <w:rPr>
          <w:rFonts w:cs="Arial"/>
          <w:color w:val="1A1A1A"/>
        </w:rPr>
        <w:t xml:space="preserve"> une propension marginale à consommer</w:t>
      </w:r>
      <w:r w:rsidRPr="008968FD">
        <w:rPr>
          <w:rFonts w:cs="Arial"/>
          <w:color w:val="1A1A1A"/>
        </w:rPr>
        <w:t xml:space="preserve"> soit proche de zéro (</w:t>
      </w:r>
      <w:r w:rsidR="00B3575D">
        <w:rPr>
          <w:rFonts w:cs="Arial"/>
          <w:color w:val="1A1A1A"/>
        </w:rPr>
        <w:t>la propension à consommer par niveau de revenu est constante</w:t>
      </w:r>
      <w:r w:rsidRPr="008968FD">
        <w:rPr>
          <w:rFonts w:cs="Arial"/>
          <w:color w:val="1A1A1A"/>
        </w:rPr>
        <w:t xml:space="preserve">), </w:t>
      </w:r>
      <w:r w:rsidR="00B3575D">
        <w:rPr>
          <w:rFonts w:cs="Arial"/>
          <w:color w:val="1A1A1A"/>
        </w:rPr>
        <w:t xml:space="preserve">soit positive </w:t>
      </w:r>
      <w:r w:rsidRPr="008968FD">
        <w:rPr>
          <w:rFonts w:cs="Arial"/>
          <w:color w:val="1A1A1A"/>
        </w:rPr>
        <w:t>(</w:t>
      </w:r>
      <w:r w:rsidR="00B3575D">
        <w:rPr>
          <w:rFonts w:cs="Arial"/>
          <w:color w:val="1A1A1A"/>
        </w:rPr>
        <w:t xml:space="preserve">la propension à consommer augmente avec le revenu). Cela implique que la relation négative entre propension à consommer et revenu est conditionnée par le niveau de revenu moyen du pays </w:t>
      </w:r>
      <w:r w:rsidRPr="008968FD">
        <w:rPr>
          <w:rFonts w:cs="Arial"/>
          <w:color w:val="1A1A1A"/>
        </w:rPr>
        <w:t>(</w:t>
      </w:r>
      <w:r w:rsidR="00B3575D">
        <w:rPr>
          <w:rFonts w:cs="Arial"/>
          <w:color w:val="1A1A1A"/>
        </w:rPr>
        <w:t>la Pologne se rapprochant</w:t>
      </w:r>
      <w:r w:rsidRPr="008968FD">
        <w:rPr>
          <w:rFonts w:cs="Arial"/>
          <w:color w:val="1A1A1A"/>
        </w:rPr>
        <w:t xml:space="preserve"> </w:t>
      </w:r>
      <w:r w:rsidR="00B3575D">
        <w:rPr>
          <w:rFonts w:cs="Arial"/>
          <w:color w:val="1A1A1A"/>
        </w:rPr>
        <w:t>d’un pays d'Europe occidentale avec</w:t>
      </w:r>
      <w:r w:rsidRPr="008968FD">
        <w:rPr>
          <w:rFonts w:cs="Arial"/>
          <w:color w:val="1A1A1A"/>
        </w:rPr>
        <w:t xml:space="preserve"> </w:t>
      </w:r>
      <w:r w:rsidR="00B3575D">
        <w:rPr>
          <w:rFonts w:cs="Arial"/>
          <w:color w:val="1A1A1A"/>
        </w:rPr>
        <w:t>un</w:t>
      </w:r>
      <w:r w:rsidRPr="008968FD">
        <w:rPr>
          <w:rFonts w:cs="Arial"/>
          <w:color w:val="1A1A1A"/>
        </w:rPr>
        <w:t xml:space="preserve"> PIB par habitant plus élevé que dans les autres pays d'Europe de l'</w:t>
      </w:r>
      <w:r w:rsidR="00B3575D">
        <w:rPr>
          <w:rFonts w:cs="Arial"/>
          <w:color w:val="1A1A1A"/>
        </w:rPr>
        <w:t>Est).</w:t>
      </w:r>
    </w:p>
    <w:p w14:paraId="28F4D8AF" w14:textId="39DBDBD1" w:rsidR="00557020" w:rsidRPr="00466A07" w:rsidRDefault="00B3575D" w:rsidP="00080464">
      <w:pPr>
        <w:pStyle w:val="Pardeliste"/>
        <w:widowControl w:val="0"/>
        <w:numPr>
          <w:ilvl w:val="0"/>
          <w:numId w:val="2"/>
        </w:numPr>
        <w:autoSpaceDE w:val="0"/>
        <w:autoSpaceDN w:val="0"/>
        <w:adjustRightInd w:val="0"/>
        <w:spacing w:after="120" w:line="276" w:lineRule="auto"/>
        <w:jc w:val="both"/>
        <w:rPr>
          <w:rFonts w:cs="Arial"/>
          <w:color w:val="1A1A1A"/>
          <w:highlight w:val="yellow"/>
        </w:rPr>
      </w:pPr>
      <w:r>
        <w:rPr>
          <w:rFonts w:cs="Arial"/>
          <w:color w:val="1A1A1A"/>
        </w:rPr>
        <w:t>L</w:t>
      </w:r>
      <w:r w:rsidRPr="00B3575D">
        <w:rPr>
          <w:rFonts w:cs="Arial"/>
          <w:color w:val="1A1A1A"/>
        </w:rPr>
        <w:t xml:space="preserve">a </w:t>
      </w:r>
      <w:r>
        <w:rPr>
          <w:rFonts w:cs="Arial"/>
          <w:color w:val="1A1A1A"/>
        </w:rPr>
        <w:t xml:space="preserve">moyenne des propensions marginales à consommer, utilisée pour simuler les pays absents de la base Eurostat (US, </w:t>
      </w:r>
      <w:proofErr w:type="gramStart"/>
      <w:r>
        <w:rPr>
          <w:rFonts w:cs="Arial"/>
          <w:color w:val="1A1A1A"/>
        </w:rPr>
        <w:t>CA</w:t>
      </w:r>
      <w:proofErr w:type="gramEnd"/>
      <w:r>
        <w:rPr>
          <w:rFonts w:cs="Arial"/>
          <w:color w:val="1A1A1A"/>
        </w:rPr>
        <w:t>, AU, SW</w:t>
      </w:r>
      <w:r w:rsidR="002B01DA">
        <w:rPr>
          <w:rFonts w:cs="Arial"/>
          <w:color w:val="1A1A1A"/>
        </w:rPr>
        <w:t>, IS</w:t>
      </w:r>
      <w:r>
        <w:rPr>
          <w:rFonts w:cs="Arial"/>
          <w:color w:val="1A1A1A"/>
        </w:rPr>
        <w:t xml:space="preserve">), est calculée sur un échantillon réduit, comprenant les </w:t>
      </w:r>
      <w:r w:rsidRPr="00B3575D">
        <w:rPr>
          <w:rFonts w:cs="Arial"/>
          <w:color w:val="1A1A1A"/>
        </w:rPr>
        <w:t>années antérieures à 2008 (</w:t>
      </w:r>
      <w:r>
        <w:rPr>
          <w:rFonts w:cs="Arial"/>
          <w:color w:val="1A1A1A"/>
        </w:rPr>
        <w:t>observations de 1999 et</w:t>
      </w:r>
      <w:r w:rsidRPr="00B3575D">
        <w:rPr>
          <w:rFonts w:cs="Arial"/>
          <w:color w:val="1A1A1A"/>
        </w:rPr>
        <w:t xml:space="preserve"> 2005) et les pays </w:t>
      </w:r>
      <w:r>
        <w:rPr>
          <w:rFonts w:cs="Arial"/>
          <w:color w:val="1A1A1A"/>
        </w:rPr>
        <w:t>inclus dans notre échantillon</w:t>
      </w:r>
      <w:r w:rsidRPr="00B3575D">
        <w:rPr>
          <w:rFonts w:cs="Arial"/>
          <w:color w:val="1A1A1A"/>
        </w:rPr>
        <w:t xml:space="preserve"> </w:t>
      </w:r>
      <w:r>
        <w:rPr>
          <w:rFonts w:cs="Arial"/>
          <w:color w:val="1A1A1A"/>
        </w:rPr>
        <w:t xml:space="preserve">LIS </w:t>
      </w:r>
      <w:r w:rsidRPr="00B3575D">
        <w:rPr>
          <w:rFonts w:cs="Arial"/>
          <w:color w:val="1A1A1A"/>
        </w:rPr>
        <w:t xml:space="preserve">+ Portugal + Belgique - </w:t>
      </w:r>
      <w:proofErr w:type="spellStart"/>
      <w:r w:rsidRPr="00B3575D">
        <w:rPr>
          <w:rFonts w:cs="Arial"/>
          <w:color w:val="1A1A1A"/>
        </w:rPr>
        <w:t>Rép</w:t>
      </w:r>
      <w:proofErr w:type="spellEnd"/>
      <w:r w:rsidRPr="00B3575D">
        <w:rPr>
          <w:rFonts w:cs="Arial"/>
          <w:color w:val="1A1A1A"/>
        </w:rPr>
        <w:t xml:space="preserve">. Slovaque - </w:t>
      </w:r>
      <w:proofErr w:type="spellStart"/>
      <w:r w:rsidRPr="00B3575D">
        <w:rPr>
          <w:rFonts w:cs="Arial"/>
          <w:color w:val="1A1A1A"/>
        </w:rPr>
        <w:t>Rep</w:t>
      </w:r>
      <w:proofErr w:type="spellEnd"/>
      <w:r w:rsidRPr="00B3575D">
        <w:rPr>
          <w:rFonts w:cs="Arial"/>
          <w:color w:val="1A1A1A"/>
        </w:rPr>
        <w:t>. Tchèque - Estonie - Pologne. La suppression du Portugal et de la Belgique ne modifie pas de manière significative le résultat.</w:t>
      </w:r>
      <w:r w:rsidR="00183E34">
        <w:rPr>
          <w:rFonts w:cs="Arial"/>
          <w:color w:val="1A1A1A"/>
        </w:rPr>
        <w:t xml:space="preserve"> </w:t>
      </w:r>
      <w:r w:rsidR="003912EC" w:rsidRPr="003912EC">
        <w:rPr>
          <w:rFonts w:cs="Arial"/>
          <w:color w:val="1A1A1A"/>
          <w:highlight w:val="yellow"/>
        </w:rPr>
        <w:t xml:space="preserve">Les </w:t>
      </w:r>
      <w:r w:rsidR="00403DF3" w:rsidRPr="00466A07">
        <w:rPr>
          <w:rFonts w:cs="Arial"/>
          <w:color w:val="1A1A1A"/>
          <w:highlight w:val="yellow"/>
        </w:rPr>
        <w:t xml:space="preserve">propensions moyennes à consommer </w:t>
      </w:r>
      <w:r w:rsidR="00466A07" w:rsidRPr="00466A07">
        <w:rPr>
          <w:rFonts w:cs="Arial"/>
          <w:color w:val="1A1A1A"/>
          <w:highlight w:val="yellow"/>
        </w:rPr>
        <w:t>n’étant pas</w:t>
      </w:r>
      <w:r w:rsidR="00403DF3" w:rsidRPr="00466A07">
        <w:rPr>
          <w:rFonts w:cs="Arial"/>
          <w:color w:val="1A1A1A"/>
          <w:highlight w:val="yellow"/>
        </w:rPr>
        <w:t xml:space="preserve"> disponibles </w:t>
      </w:r>
      <w:r w:rsidR="003912EC" w:rsidRPr="00466A07">
        <w:rPr>
          <w:rFonts w:cs="Arial"/>
          <w:color w:val="1A1A1A"/>
          <w:highlight w:val="yellow"/>
        </w:rPr>
        <w:t xml:space="preserve">pour Israël et Luxembourg </w:t>
      </w:r>
      <w:r w:rsidR="00403DF3" w:rsidRPr="00466A07">
        <w:rPr>
          <w:rFonts w:cs="Arial"/>
          <w:color w:val="1A1A1A"/>
          <w:highlight w:val="yellow"/>
        </w:rPr>
        <w:t xml:space="preserve">(ni dans Eurostat, ni dans la base des comptes nationaux </w:t>
      </w:r>
      <w:r w:rsidR="00466A07" w:rsidRPr="00466A07">
        <w:rPr>
          <w:rFonts w:cs="Arial"/>
          <w:color w:val="1A1A1A"/>
          <w:highlight w:val="yellow"/>
        </w:rPr>
        <w:t>OCDE), nous ne pouvons calculer les dépenses de TVA pour ces 2 pays.</w:t>
      </w:r>
    </w:p>
    <w:sectPr w:rsidR="00557020" w:rsidRPr="00466A07" w:rsidSect="007D5C6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EB2CD6"/>
    <w:multiLevelType w:val="hybridMultilevel"/>
    <w:tmpl w:val="8F402190"/>
    <w:lvl w:ilvl="0" w:tplc="38BE44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D7315E"/>
    <w:multiLevelType w:val="multilevel"/>
    <w:tmpl w:val="514A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04E72"/>
    <w:multiLevelType w:val="hybridMultilevel"/>
    <w:tmpl w:val="3D2AD5C2"/>
    <w:lvl w:ilvl="0" w:tplc="51B6114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2A6B2B"/>
    <w:multiLevelType w:val="hybridMultilevel"/>
    <w:tmpl w:val="FF9A4B40"/>
    <w:lvl w:ilvl="0" w:tplc="25DE360E">
      <w:numFmt w:val="bullet"/>
      <w:lvlText w:val=""/>
      <w:lvlJc w:val="left"/>
      <w:pPr>
        <w:ind w:left="720" w:hanging="360"/>
      </w:pPr>
      <w:rPr>
        <w:rFonts w:ascii="Symbol" w:eastAsiaTheme="minorHAnsi" w:hAnsi="Symbol" w:cstheme="minorBidi" w:hint="default"/>
      </w:rPr>
    </w:lvl>
    <w:lvl w:ilvl="1" w:tplc="51B6114A">
      <w:start w:val="4"/>
      <w:numFmt w:val="bullet"/>
      <w:lvlText w:val="-"/>
      <w:lvlJc w:val="left"/>
      <w:pPr>
        <w:ind w:left="1440" w:hanging="360"/>
      </w:pPr>
      <w:rPr>
        <w:rFonts w:ascii="Calibri" w:eastAsiaTheme="minorHAnsi" w:hAnsi="Calibri"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2D47D7"/>
    <w:multiLevelType w:val="hybridMultilevel"/>
    <w:tmpl w:val="AC26C4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BB5A03"/>
    <w:multiLevelType w:val="hybridMultilevel"/>
    <w:tmpl w:val="C07C01DA"/>
    <w:lvl w:ilvl="0" w:tplc="51B6114A">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1F"/>
    <w:rsid w:val="00034390"/>
    <w:rsid w:val="00061D00"/>
    <w:rsid w:val="00080464"/>
    <w:rsid w:val="00183955"/>
    <w:rsid w:val="00183E34"/>
    <w:rsid w:val="001A0DF3"/>
    <w:rsid w:val="001B1CF8"/>
    <w:rsid w:val="001B4270"/>
    <w:rsid w:val="001B5361"/>
    <w:rsid w:val="001F56E6"/>
    <w:rsid w:val="001F6E90"/>
    <w:rsid w:val="002076BD"/>
    <w:rsid w:val="00247ED3"/>
    <w:rsid w:val="0028279B"/>
    <w:rsid w:val="002A1231"/>
    <w:rsid w:val="002B01DA"/>
    <w:rsid w:val="002E1BE4"/>
    <w:rsid w:val="00311E57"/>
    <w:rsid w:val="00317BFE"/>
    <w:rsid w:val="00327D84"/>
    <w:rsid w:val="00350B0C"/>
    <w:rsid w:val="003912EC"/>
    <w:rsid w:val="003A475A"/>
    <w:rsid w:val="003D20D9"/>
    <w:rsid w:val="003D4163"/>
    <w:rsid w:val="00403DF3"/>
    <w:rsid w:val="00410857"/>
    <w:rsid w:val="00426C73"/>
    <w:rsid w:val="00452F86"/>
    <w:rsid w:val="004538B2"/>
    <w:rsid w:val="00466A07"/>
    <w:rsid w:val="0047635B"/>
    <w:rsid w:val="004806AF"/>
    <w:rsid w:val="004A44E1"/>
    <w:rsid w:val="0051272D"/>
    <w:rsid w:val="00520F60"/>
    <w:rsid w:val="005242D7"/>
    <w:rsid w:val="00555E02"/>
    <w:rsid w:val="00557020"/>
    <w:rsid w:val="0056305A"/>
    <w:rsid w:val="005722F3"/>
    <w:rsid w:val="00591D19"/>
    <w:rsid w:val="00595ED6"/>
    <w:rsid w:val="005C28AF"/>
    <w:rsid w:val="005C4FCF"/>
    <w:rsid w:val="005D0889"/>
    <w:rsid w:val="006336B8"/>
    <w:rsid w:val="006477FF"/>
    <w:rsid w:val="00650E60"/>
    <w:rsid w:val="00654F9A"/>
    <w:rsid w:val="006B29AC"/>
    <w:rsid w:val="006C4312"/>
    <w:rsid w:val="006C4F25"/>
    <w:rsid w:val="006F361B"/>
    <w:rsid w:val="00702D7F"/>
    <w:rsid w:val="007552D3"/>
    <w:rsid w:val="00755C52"/>
    <w:rsid w:val="007639AE"/>
    <w:rsid w:val="00765B18"/>
    <w:rsid w:val="007713B7"/>
    <w:rsid w:val="00790842"/>
    <w:rsid w:val="0083650E"/>
    <w:rsid w:val="008968FD"/>
    <w:rsid w:val="00944D66"/>
    <w:rsid w:val="00982845"/>
    <w:rsid w:val="009B132F"/>
    <w:rsid w:val="009F5D54"/>
    <w:rsid w:val="00A3213C"/>
    <w:rsid w:val="00A5681F"/>
    <w:rsid w:val="00AA193A"/>
    <w:rsid w:val="00AB7A9A"/>
    <w:rsid w:val="00AF02B0"/>
    <w:rsid w:val="00AF3365"/>
    <w:rsid w:val="00B14C27"/>
    <w:rsid w:val="00B30A6B"/>
    <w:rsid w:val="00B3575D"/>
    <w:rsid w:val="00B43B68"/>
    <w:rsid w:val="00B5160F"/>
    <w:rsid w:val="00B6337D"/>
    <w:rsid w:val="00B66F72"/>
    <w:rsid w:val="00B729DC"/>
    <w:rsid w:val="00B9039B"/>
    <w:rsid w:val="00BF2815"/>
    <w:rsid w:val="00C049B5"/>
    <w:rsid w:val="00C0653B"/>
    <w:rsid w:val="00C15D12"/>
    <w:rsid w:val="00C810E5"/>
    <w:rsid w:val="00C936E7"/>
    <w:rsid w:val="00CA4D75"/>
    <w:rsid w:val="00CA50E9"/>
    <w:rsid w:val="00CC1591"/>
    <w:rsid w:val="00CC63B2"/>
    <w:rsid w:val="00CD1FFA"/>
    <w:rsid w:val="00CD6A97"/>
    <w:rsid w:val="00D5392A"/>
    <w:rsid w:val="00D61749"/>
    <w:rsid w:val="00D63613"/>
    <w:rsid w:val="00DD011B"/>
    <w:rsid w:val="00E16D6C"/>
    <w:rsid w:val="00E255C1"/>
    <w:rsid w:val="00E62EE0"/>
    <w:rsid w:val="00EE2597"/>
    <w:rsid w:val="00EF746E"/>
    <w:rsid w:val="00F14091"/>
    <w:rsid w:val="00F40529"/>
    <w:rsid w:val="00F63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DEEF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635B"/>
    <w:rPr>
      <w:color w:val="0563C1" w:themeColor="hyperlink"/>
      <w:u w:val="single"/>
    </w:rPr>
  </w:style>
  <w:style w:type="paragraph" w:styleId="Normalweb">
    <w:name w:val="Normal (Web)"/>
    <w:basedOn w:val="Normal"/>
    <w:uiPriority w:val="99"/>
    <w:semiHidden/>
    <w:unhideWhenUsed/>
    <w:rsid w:val="00765B18"/>
    <w:pPr>
      <w:spacing w:before="100" w:beforeAutospacing="1" w:after="100" w:afterAutospacing="1"/>
    </w:pPr>
    <w:rPr>
      <w:rFonts w:ascii="Times New Roman" w:hAnsi="Times New Roman" w:cs="Times New Roman"/>
      <w:lang w:eastAsia="fr-FR"/>
    </w:rPr>
  </w:style>
  <w:style w:type="paragraph" w:styleId="Pardeliste">
    <w:name w:val="List Paragraph"/>
    <w:basedOn w:val="Normal"/>
    <w:uiPriority w:val="34"/>
    <w:qFormat/>
    <w:rsid w:val="001B5361"/>
    <w:pPr>
      <w:ind w:left="720"/>
      <w:contextualSpacing/>
    </w:pPr>
  </w:style>
  <w:style w:type="character" w:styleId="Lienhypertextevisit">
    <w:name w:val="FollowedHyperlink"/>
    <w:basedOn w:val="Policepardfaut"/>
    <w:uiPriority w:val="99"/>
    <w:semiHidden/>
    <w:unhideWhenUsed/>
    <w:rsid w:val="003D20D9"/>
    <w:rPr>
      <w:color w:val="954F72" w:themeColor="followedHyperlink"/>
      <w:u w:val="single"/>
    </w:rPr>
  </w:style>
  <w:style w:type="paragraph" w:styleId="Explorateurdedocuments">
    <w:name w:val="Document Map"/>
    <w:basedOn w:val="Normal"/>
    <w:link w:val="ExplorateurdedocumentsCar"/>
    <w:uiPriority w:val="99"/>
    <w:semiHidden/>
    <w:unhideWhenUsed/>
    <w:rsid w:val="002B01DA"/>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2B01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5224">
      <w:bodyDiv w:val="1"/>
      <w:marLeft w:val="0"/>
      <w:marRight w:val="0"/>
      <w:marTop w:val="0"/>
      <w:marBottom w:val="0"/>
      <w:divBdr>
        <w:top w:val="none" w:sz="0" w:space="0" w:color="auto"/>
        <w:left w:val="none" w:sz="0" w:space="0" w:color="auto"/>
        <w:bottom w:val="none" w:sz="0" w:space="0" w:color="auto"/>
        <w:right w:val="none" w:sz="0" w:space="0" w:color="auto"/>
      </w:divBdr>
      <w:divsChild>
        <w:div w:id="447043714">
          <w:marLeft w:val="0"/>
          <w:marRight w:val="0"/>
          <w:marTop w:val="0"/>
          <w:marBottom w:val="0"/>
          <w:divBdr>
            <w:top w:val="none" w:sz="0" w:space="0" w:color="auto"/>
            <w:left w:val="none" w:sz="0" w:space="0" w:color="auto"/>
            <w:bottom w:val="none" w:sz="0" w:space="0" w:color="auto"/>
            <w:right w:val="none" w:sz="0" w:space="0" w:color="auto"/>
          </w:divBdr>
          <w:divsChild>
            <w:div w:id="860817455">
              <w:marLeft w:val="0"/>
              <w:marRight w:val="0"/>
              <w:marTop w:val="0"/>
              <w:marBottom w:val="0"/>
              <w:divBdr>
                <w:top w:val="none" w:sz="0" w:space="0" w:color="auto"/>
                <w:left w:val="none" w:sz="0" w:space="0" w:color="auto"/>
                <w:bottom w:val="none" w:sz="0" w:space="0" w:color="auto"/>
                <w:right w:val="none" w:sz="0" w:space="0" w:color="auto"/>
              </w:divBdr>
              <w:divsChild>
                <w:div w:id="1463158455">
                  <w:marLeft w:val="0"/>
                  <w:marRight w:val="0"/>
                  <w:marTop w:val="0"/>
                  <w:marBottom w:val="0"/>
                  <w:divBdr>
                    <w:top w:val="none" w:sz="0" w:space="0" w:color="auto"/>
                    <w:left w:val="none" w:sz="0" w:space="0" w:color="auto"/>
                    <w:bottom w:val="none" w:sz="0" w:space="0" w:color="auto"/>
                    <w:right w:val="none" w:sz="0" w:space="0" w:color="auto"/>
                  </w:divBdr>
                </w:div>
              </w:divsChild>
            </w:div>
            <w:div w:id="1435058768">
              <w:marLeft w:val="0"/>
              <w:marRight w:val="0"/>
              <w:marTop w:val="0"/>
              <w:marBottom w:val="0"/>
              <w:divBdr>
                <w:top w:val="none" w:sz="0" w:space="0" w:color="auto"/>
                <w:left w:val="none" w:sz="0" w:space="0" w:color="auto"/>
                <w:bottom w:val="none" w:sz="0" w:space="0" w:color="auto"/>
                <w:right w:val="none" w:sz="0" w:space="0" w:color="auto"/>
              </w:divBdr>
              <w:divsChild>
                <w:div w:id="1908105745">
                  <w:marLeft w:val="0"/>
                  <w:marRight w:val="0"/>
                  <w:marTop w:val="0"/>
                  <w:marBottom w:val="0"/>
                  <w:divBdr>
                    <w:top w:val="none" w:sz="0" w:space="0" w:color="auto"/>
                    <w:left w:val="none" w:sz="0" w:space="0" w:color="auto"/>
                    <w:bottom w:val="none" w:sz="0" w:space="0" w:color="auto"/>
                    <w:right w:val="none" w:sz="0" w:space="0" w:color="auto"/>
                  </w:divBdr>
                </w:div>
              </w:divsChild>
            </w:div>
            <w:div w:id="1404990347">
              <w:marLeft w:val="0"/>
              <w:marRight w:val="0"/>
              <w:marTop w:val="0"/>
              <w:marBottom w:val="0"/>
              <w:divBdr>
                <w:top w:val="none" w:sz="0" w:space="0" w:color="auto"/>
                <w:left w:val="none" w:sz="0" w:space="0" w:color="auto"/>
                <w:bottom w:val="none" w:sz="0" w:space="0" w:color="auto"/>
                <w:right w:val="none" w:sz="0" w:space="0" w:color="auto"/>
              </w:divBdr>
              <w:divsChild>
                <w:div w:id="208419396">
                  <w:marLeft w:val="0"/>
                  <w:marRight w:val="0"/>
                  <w:marTop w:val="0"/>
                  <w:marBottom w:val="0"/>
                  <w:divBdr>
                    <w:top w:val="none" w:sz="0" w:space="0" w:color="auto"/>
                    <w:left w:val="none" w:sz="0" w:space="0" w:color="auto"/>
                    <w:bottom w:val="none" w:sz="0" w:space="0" w:color="auto"/>
                    <w:right w:val="none" w:sz="0" w:space="0" w:color="auto"/>
                  </w:divBdr>
                </w:div>
              </w:divsChild>
            </w:div>
            <w:div w:id="150560419">
              <w:marLeft w:val="0"/>
              <w:marRight w:val="0"/>
              <w:marTop w:val="0"/>
              <w:marBottom w:val="0"/>
              <w:divBdr>
                <w:top w:val="none" w:sz="0" w:space="0" w:color="auto"/>
                <w:left w:val="none" w:sz="0" w:space="0" w:color="auto"/>
                <w:bottom w:val="none" w:sz="0" w:space="0" w:color="auto"/>
                <w:right w:val="none" w:sz="0" w:space="0" w:color="auto"/>
              </w:divBdr>
              <w:divsChild>
                <w:div w:id="1428842690">
                  <w:marLeft w:val="0"/>
                  <w:marRight w:val="0"/>
                  <w:marTop w:val="0"/>
                  <w:marBottom w:val="0"/>
                  <w:divBdr>
                    <w:top w:val="none" w:sz="0" w:space="0" w:color="auto"/>
                    <w:left w:val="none" w:sz="0" w:space="0" w:color="auto"/>
                    <w:bottom w:val="none" w:sz="0" w:space="0" w:color="auto"/>
                    <w:right w:val="none" w:sz="0" w:space="0" w:color="auto"/>
                  </w:divBdr>
                </w:div>
              </w:divsChild>
            </w:div>
            <w:div w:id="106462475">
              <w:marLeft w:val="0"/>
              <w:marRight w:val="0"/>
              <w:marTop w:val="0"/>
              <w:marBottom w:val="0"/>
              <w:divBdr>
                <w:top w:val="none" w:sz="0" w:space="0" w:color="auto"/>
                <w:left w:val="none" w:sz="0" w:space="0" w:color="auto"/>
                <w:bottom w:val="none" w:sz="0" w:space="0" w:color="auto"/>
                <w:right w:val="none" w:sz="0" w:space="0" w:color="auto"/>
              </w:divBdr>
              <w:divsChild>
                <w:div w:id="764888603">
                  <w:marLeft w:val="0"/>
                  <w:marRight w:val="0"/>
                  <w:marTop w:val="0"/>
                  <w:marBottom w:val="0"/>
                  <w:divBdr>
                    <w:top w:val="none" w:sz="0" w:space="0" w:color="auto"/>
                    <w:left w:val="none" w:sz="0" w:space="0" w:color="auto"/>
                    <w:bottom w:val="none" w:sz="0" w:space="0" w:color="auto"/>
                    <w:right w:val="none" w:sz="0" w:space="0" w:color="auto"/>
                  </w:divBdr>
                </w:div>
              </w:divsChild>
            </w:div>
            <w:div w:id="286351498">
              <w:marLeft w:val="0"/>
              <w:marRight w:val="0"/>
              <w:marTop w:val="0"/>
              <w:marBottom w:val="0"/>
              <w:divBdr>
                <w:top w:val="none" w:sz="0" w:space="0" w:color="auto"/>
                <w:left w:val="none" w:sz="0" w:space="0" w:color="auto"/>
                <w:bottom w:val="none" w:sz="0" w:space="0" w:color="auto"/>
                <w:right w:val="none" w:sz="0" w:space="0" w:color="auto"/>
              </w:divBdr>
              <w:divsChild>
                <w:div w:id="1094982234">
                  <w:marLeft w:val="0"/>
                  <w:marRight w:val="0"/>
                  <w:marTop w:val="0"/>
                  <w:marBottom w:val="0"/>
                  <w:divBdr>
                    <w:top w:val="none" w:sz="0" w:space="0" w:color="auto"/>
                    <w:left w:val="none" w:sz="0" w:space="0" w:color="auto"/>
                    <w:bottom w:val="none" w:sz="0" w:space="0" w:color="auto"/>
                    <w:right w:val="none" w:sz="0" w:space="0" w:color="auto"/>
                  </w:divBdr>
                </w:div>
              </w:divsChild>
            </w:div>
            <w:div w:id="240679846">
              <w:marLeft w:val="0"/>
              <w:marRight w:val="0"/>
              <w:marTop w:val="0"/>
              <w:marBottom w:val="0"/>
              <w:divBdr>
                <w:top w:val="none" w:sz="0" w:space="0" w:color="auto"/>
                <w:left w:val="none" w:sz="0" w:space="0" w:color="auto"/>
                <w:bottom w:val="none" w:sz="0" w:space="0" w:color="auto"/>
                <w:right w:val="none" w:sz="0" w:space="0" w:color="auto"/>
              </w:divBdr>
              <w:divsChild>
                <w:div w:id="799494373">
                  <w:marLeft w:val="0"/>
                  <w:marRight w:val="0"/>
                  <w:marTop w:val="0"/>
                  <w:marBottom w:val="0"/>
                  <w:divBdr>
                    <w:top w:val="none" w:sz="0" w:space="0" w:color="auto"/>
                    <w:left w:val="none" w:sz="0" w:space="0" w:color="auto"/>
                    <w:bottom w:val="none" w:sz="0" w:space="0" w:color="auto"/>
                    <w:right w:val="none" w:sz="0" w:space="0" w:color="auto"/>
                  </w:divBdr>
                </w:div>
              </w:divsChild>
            </w:div>
            <w:div w:id="178585665">
              <w:marLeft w:val="0"/>
              <w:marRight w:val="0"/>
              <w:marTop w:val="0"/>
              <w:marBottom w:val="0"/>
              <w:divBdr>
                <w:top w:val="none" w:sz="0" w:space="0" w:color="auto"/>
                <w:left w:val="none" w:sz="0" w:space="0" w:color="auto"/>
                <w:bottom w:val="none" w:sz="0" w:space="0" w:color="auto"/>
                <w:right w:val="none" w:sz="0" w:space="0" w:color="auto"/>
              </w:divBdr>
              <w:divsChild>
                <w:div w:id="889153166">
                  <w:marLeft w:val="0"/>
                  <w:marRight w:val="0"/>
                  <w:marTop w:val="0"/>
                  <w:marBottom w:val="0"/>
                  <w:divBdr>
                    <w:top w:val="none" w:sz="0" w:space="0" w:color="auto"/>
                    <w:left w:val="none" w:sz="0" w:space="0" w:color="auto"/>
                    <w:bottom w:val="none" w:sz="0" w:space="0" w:color="auto"/>
                    <w:right w:val="none" w:sz="0" w:space="0" w:color="auto"/>
                  </w:divBdr>
                </w:div>
              </w:divsChild>
            </w:div>
            <w:div w:id="884606043">
              <w:marLeft w:val="0"/>
              <w:marRight w:val="0"/>
              <w:marTop w:val="0"/>
              <w:marBottom w:val="0"/>
              <w:divBdr>
                <w:top w:val="none" w:sz="0" w:space="0" w:color="auto"/>
                <w:left w:val="none" w:sz="0" w:space="0" w:color="auto"/>
                <w:bottom w:val="none" w:sz="0" w:space="0" w:color="auto"/>
                <w:right w:val="none" w:sz="0" w:space="0" w:color="auto"/>
              </w:divBdr>
              <w:divsChild>
                <w:div w:id="936904672">
                  <w:marLeft w:val="0"/>
                  <w:marRight w:val="0"/>
                  <w:marTop w:val="0"/>
                  <w:marBottom w:val="0"/>
                  <w:divBdr>
                    <w:top w:val="none" w:sz="0" w:space="0" w:color="auto"/>
                    <w:left w:val="none" w:sz="0" w:space="0" w:color="auto"/>
                    <w:bottom w:val="none" w:sz="0" w:space="0" w:color="auto"/>
                    <w:right w:val="none" w:sz="0" w:space="0" w:color="auto"/>
                  </w:divBdr>
                </w:div>
              </w:divsChild>
            </w:div>
            <w:div w:id="484010077">
              <w:marLeft w:val="0"/>
              <w:marRight w:val="0"/>
              <w:marTop w:val="0"/>
              <w:marBottom w:val="0"/>
              <w:divBdr>
                <w:top w:val="none" w:sz="0" w:space="0" w:color="auto"/>
                <w:left w:val="none" w:sz="0" w:space="0" w:color="auto"/>
                <w:bottom w:val="none" w:sz="0" w:space="0" w:color="auto"/>
                <w:right w:val="none" w:sz="0" w:space="0" w:color="auto"/>
              </w:divBdr>
              <w:divsChild>
                <w:div w:id="649486217">
                  <w:marLeft w:val="0"/>
                  <w:marRight w:val="0"/>
                  <w:marTop w:val="0"/>
                  <w:marBottom w:val="0"/>
                  <w:divBdr>
                    <w:top w:val="none" w:sz="0" w:space="0" w:color="auto"/>
                    <w:left w:val="none" w:sz="0" w:space="0" w:color="auto"/>
                    <w:bottom w:val="none" w:sz="0" w:space="0" w:color="auto"/>
                    <w:right w:val="none" w:sz="0" w:space="0" w:color="auto"/>
                  </w:divBdr>
                </w:div>
              </w:divsChild>
            </w:div>
            <w:div w:id="2116170354">
              <w:marLeft w:val="0"/>
              <w:marRight w:val="0"/>
              <w:marTop w:val="0"/>
              <w:marBottom w:val="0"/>
              <w:divBdr>
                <w:top w:val="none" w:sz="0" w:space="0" w:color="auto"/>
                <w:left w:val="none" w:sz="0" w:space="0" w:color="auto"/>
                <w:bottom w:val="none" w:sz="0" w:space="0" w:color="auto"/>
                <w:right w:val="none" w:sz="0" w:space="0" w:color="auto"/>
              </w:divBdr>
              <w:divsChild>
                <w:div w:id="1755082723">
                  <w:marLeft w:val="0"/>
                  <w:marRight w:val="0"/>
                  <w:marTop w:val="0"/>
                  <w:marBottom w:val="0"/>
                  <w:divBdr>
                    <w:top w:val="none" w:sz="0" w:space="0" w:color="auto"/>
                    <w:left w:val="none" w:sz="0" w:space="0" w:color="auto"/>
                    <w:bottom w:val="none" w:sz="0" w:space="0" w:color="auto"/>
                    <w:right w:val="none" w:sz="0" w:space="0" w:color="auto"/>
                  </w:divBdr>
                </w:div>
              </w:divsChild>
            </w:div>
            <w:div w:id="1565221528">
              <w:marLeft w:val="0"/>
              <w:marRight w:val="0"/>
              <w:marTop w:val="0"/>
              <w:marBottom w:val="0"/>
              <w:divBdr>
                <w:top w:val="none" w:sz="0" w:space="0" w:color="auto"/>
                <w:left w:val="none" w:sz="0" w:space="0" w:color="auto"/>
                <w:bottom w:val="none" w:sz="0" w:space="0" w:color="auto"/>
                <w:right w:val="none" w:sz="0" w:space="0" w:color="auto"/>
              </w:divBdr>
              <w:divsChild>
                <w:div w:id="1557618103">
                  <w:marLeft w:val="0"/>
                  <w:marRight w:val="0"/>
                  <w:marTop w:val="0"/>
                  <w:marBottom w:val="0"/>
                  <w:divBdr>
                    <w:top w:val="none" w:sz="0" w:space="0" w:color="auto"/>
                    <w:left w:val="none" w:sz="0" w:space="0" w:color="auto"/>
                    <w:bottom w:val="none" w:sz="0" w:space="0" w:color="auto"/>
                    <w:right w:val="none" w:sz="0" w:space="0" w:color="auto"/>
                  </w:divBdr>
                </w:div>
              </w:divsChild>
            </w:div>
            <w:div w:id="406877383">
              <w:marLeft w:val="0"/>
              <w:marRight w:val="0"/>
              <w:marTop w:val="0"/>
              <w:marBottom w:val="0"/>
              <w:divBdr>
                <w:top w:val="none" w:sz="0" w:space="0" w:color="auto"/>
                <w:left w:val="none" w:sz="0" w:space="0" w:color="auto"/>
                <w:bottom w:val="none" w:sz="0" w:space="0" w:color="auto"/>
                <w:right w:val="none" w:sz="0" w:space="0" w:color="auto"/>
              </w:divBdr>
              <w:divsChild>
                <w:div w:id="743247">
                  <w:marLeft w:val="0"/>
                  <w:marRight w:val="0"/>
                  <w:marTop w:val="0"/>
                  <w:marBottom w:val="0"/>
                  <w:divBdr>
                    <w:top w:val="none" w:sz="0" w:space="0" w:color="auto"/>
                    <w:left w:val="none" w:sz="0" w:space="0" w:color="auto"/>
                    <w:bottom w:val="none" w:sz="0" w:space="0" w:color="auto"/>
                    <w:right w:val="none" w:sz="0" w:space="0" w:color="auto"/>
                  </w:divBdr>
                </w:div>
              </w:divsChild>
            </w:div>
            <w:div w:id="370573303">
              <w:marLeft w:val="0"/>
              <w:marRight w:val="0"/>
              <w:marTop w:val="0"/>
              <w:marBottom w:val="0"/>
              <w:divBdr>
                <w:top w:val="none" w:sz="0" w:space="0" w:color="auto"/>
                <w:left w:val="none" w:sz="0" w:space="0" w:color="auto"/>
                <w:bottom w:val="none" w:sz="0" w:space="0" w:color="auto"/>
                <w:right w:val="none" w:sz="0" w:space="0" w:color="auto"/>
              </w:divBdr>
              <w:divsChild>
                <w:div w:id="686447780">
                  <w:marLeft w:val="0"/>
                  <w:marRight w:val="0"/>
                  <w:marTop w:val="0"/>
                  <w:marBottom w:val="0"/>
                  <w:divBdr>
                    <w:top w:val="none" w:sz="0" w:space="0" w:color="auto"/>
                    <w:left w:val="none" w:sz="0" w:space="0" w:color="auto"/>
                    <w:bottom w:val="none" w:sz="0" w:space="0" w:color="auto"/>
                    <w:right w:val="none" w:sz="0" w:space="0" w:color="auto"/>
                  </w:divBdr>
                </w:div>
              </w:divsChild>
            </w:div>
            <w:div w:id="685442756">
              <w:marLeft w:val="0"/>
              <w:marRight w:val="0"/>
              <w:marTop w:val="0"/>
              <w:marBottom w:val="0"/>
              <w:divBdr>
                <w:top w:val="none" w:sz="0" w:space="0" w:color="auto"/>
                <w:left w:val="none" w:sz="0" w:space="0" w:color="auto"/>
                <w:bottom w:val="none" w:sz="0" w:space="0" w:color="auto"/>
                <w:right w:val="none" w:sz="0" w:space="0" w:color="auto"/>
              </w:divBdr>
              <w:divsChild>
                <w:div w:id="14956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26411">
      <w:bodyDiv w:val="1"/>
      <w:marLeft w:val="0"/>
      <w:marRight w:val="0"/>
      <w:marTop w:val="0"/>
      <w:marBottom w:val="0"/>
      <w:divBdr>
        <w:top w:val="none" w:sz="0" w:space="0" w:color="auto"/>
        <w:left w:val="none" w:sz="0" w:space="0" w:color="auto"/>
        <w:bottom w:val="none" w:sz="0" w:space="0" w:color="auto"/>
        <w:right w:val="none" w:sz="0" w:space="0" w:color="auto"/>
      </w:divBdr>
      <w:divsChild>
        <w:div w:id="258486132">
          <w:marLeft w:val="0"/>
          <w:marRight w:val="0"/>
          <w:marTop w:val="0"/>
          <w:marBottom w:val="0"/>
          <w:divBdr>
            <w:top w:val="none" w:sz="0" w:space="0" w:color="auto"/>
            <w:left w:val="none" w:sz="0" w:space="0" w:color="auto"/>
            <w:bottom w:val="none" w:sz="0" w:space="0" w:color="auto"/>
            <w:right w:val="none" w:sz="0" w:space="0" w:color="auto"/>
          </w:divBdr>
          <w:divsChild>
            <w:div w:id="1600793178">
              <w:marLeft w:val="0"/>
              <w:marRight w:val="0"/>
              <w:marTop w:val="0"/>
              <w:marBottom w:val="0"/>
              <w:divBdr>
                <w:top w:val="none" w:sz="0" w:space="0" w:color="auto"/>
                <w:left w:val="none" w:sz="0" w:space="0" w:color="auto"/>
                <w:bottom w:val="none" w:sz="0" w:space="0" w:color="auto"/>
                <w:right w:val="none" w:sz="0" w:space="0" w:color="auto"/>
              </w:divBdr>
              <w:divsChild>
                <w:div w:id="1489128876">
                  <w:marLeft w:val="0"/>
                  <w:marRight w:val="0"/>
                  <w:marTop w:val="0"/>
                  <w:marBottom w:val="0"/>
                  <w:divBdr>
                    <w:top w:val="none" w:sz="0" w:space="0" w:color="auto"/>
                    <w:left w:val="none" w:sz="0" w:space="0" w:color="auto"/>
                    <w:bottom w:val="none" w:sz="0" w:space="0" w:color="auto"/>
                    <w:right w:val="none" w:sz="0" w:space="0" w:color="auto"/>
                  </w:divBdr>
                </w:div>
              </w:divsChild>
            </w:div>
            <w:div w:id="733431227">
              <w:marLeft w:val="0"/>
              <w:marRight w:val="0"/>
              <w:marTop w:val="0"/>
              <w:marBottom w:val="0"/>
              <w:divBdr>
                <w:top w:val="none" w:sz="0" w:space="0" w:color="auto"/>
                <w:left w:val="none" w:sz="0" w:space="0" w:color="auto"/>
                <w:bottom w:val="none" w:sz="0" w:space="0" w:color="auto"/>
                <w:right w:val="none" w:sz="0" w:space="0" w:color="auto"/>
              </w:divBdr>
              <w:divsChild>
                <w:div w:id="1080561826">
                  <w:marLeft w:val="0"/>
                  <w:marRight w:val="0"/>
                  <w:marTop w:val="0"/>
                  <w:marBottom w:val="0"/>
                  <w:divBdr>
                    <w:top w:val="none" w:sz="0" w:space="0" w:color="auto"/>
                    <w:left w:val="none" w:sz="0" w:space="0" w:color="auto"/>
                    <w:bottom w:val="none" w:sz="0" w:space="0" w:color="auto"/>
                    <w:right w:val="none" w:sz="0" w:space="0" w:color="auto"/>
                  </w:divBdr>
                </w:div>
              </w:divsChild>
            </w:div>
            <w:div w:id="1246496161">
              <w:marLeft w:val="0"/>
              <w:marRight w:val="0"/>
              <w:marTop w:val="0"/>
              <w:marBottom w:val="0"/>
              <w:divBdr>
                <w:top w:val="none" w:sz="0" w:space="0" w:color="auto"/>
                <w:left w:val="none" w:sz="0" w:space="0" w:color="auto"/>
                <w:bottom w:val="none" w:sz="0" w:space="0" w:color="auto"/>
                <w:right w:val="none" w:sz="0" w:space="0" w:color="auto"/>
              </w:divBdr>
              <w:divsChild>
                <w:div w:id="877666775">
                  <w:marLeft w:val="0"/>
                  <w:marRight w:val="0"/>
                  <w:marTop w:val="0"/>
                  <w:marBottom w:val="0"/>
                  <w:divBdr>
                    <w:top w:val="none" w:sz="0" w:space="0" w:color="auto"/>
                    <w:left w:val="none" w:sz="0" w:space="0" w:color="auto"/>
                    <w:bottom w:val="none" w:sz="0" w:space="0" w:color="auto"/>
                    <w:right w:val="none" w:sz="0" w:space="0" w:color="auto"/>
                  </w:divBdr>
                </w:div>
              </w:divsChild>
            </w:div>
            <w:div w:id="967902030">
              <w:marLeft w:val="0"/>
              <w:marRight w:val="0"/>
              <w:marTop w:val="0"/>
              <w:marBottom w:val="0"/>
              <w:divBdr>
                <w:top w:val="none" w:sz="0" w:space="0" w:color="auto"/>
                <w:left w:val="none" w:sz="0" w:space="0" w:color="auto"/>
                <w:bottom w:val="none" w:sz="0" w:space="0" w:color="auto"/>
                <w:right w:val="none" w:sz="0" w:space="0" w:color="auto"/>
              </w:divBdr>
              <w:divsChild>
                <w:div w:id="1918633702">
                  <w:marLeft w:val="0"/>
                  <w:marRight w:val="0"/>
                  <w:marTop w:val="0"/>
                  <w:marBottom w:val="0"/>
                  <w:divBdr>
                    <w:top w:val="none" w:sz="0" w:space="0" w:color="auto"/>
                    <w:left w:val="none" w:sz="0" w:space="0" w:color="auto"/>
                    <w:bottom w:val="none" w:sz="0" w:space="0" w:color="auto"/>
                    <w:right w:val="none" w:sz="0" w:space="0" w:color="auto"/>
                  </w:divBdr>
                </w:div>
              </w:divsChild>
            </w:div>
            <w:div w:id="176434182">
              <w:marLeft w:val="0"/>
              <w:marRight w:val="0"/>
              <w:marTop w:val="0"/>
              <w:marBottom w:val="0"/>
              <w:divBdr>
                <w:top w:val="none" w:sz="0" w:space="0" w:color="auto"/>
                <w:left w:val="none" w:sz="0" w:space="0" w:color="auto"/>
                <w:bottom w:val="none" w:sz="0" w:space="0" w:color="auto"/>
                <w:right w:val="none" w:sz="0" w:space="0" w:color="auto"/>
              </w:divBdr>
              <w:divsChild>
                <w:div w:id="1233663313">
                  <w:marLeft w:val="0"/>
                  <w:marRight w:val="0"/>
                  <w:marTop w:val="0"/>
                  <w:marBottom w:val="0"/>
                  <w:divBdr>
                    <w:top w:val="none" w:sz="0" w:space="0" w:color="auto"/>
                    <w:left w:val="none" w:sz="0" w:space="0" w:color="auto"/>
                    <w:bottom w:val="none" w:sz="0" w:space="0" w:color="auto"/>
                    <w:right w:val="none" w:sz="0" w:space="0" w:color="auto"/>
                  </w:divBdr>
                </w:div>
              </w:divsChild>
            </w:div>
            <w:div w:id="293798841">
              <w:marLeft w:val="0"/>
              <w:marRight w:val="0"/>
              <w:marTop w:val="0"/>
              <w:marBottom w:val="0"/>
              <w:divBdr>
                <w:top w:val="none" w:sz="0" w:space="0" w:color="auto"/>
                <w:left w:val="none" w:sz="0" w:space="0" w:color="auto"/>
                <w:bottom w:val="none" w:sz="0" w:space="0" w:color="auto"/>
                <w:right w:val="none" w:sz="0" w:space="0" w:color="auto"/>
              </w:divBdr>
              <w:divsChild>
                <w:div w:id="2145733060">
                  <w:marLeft w:val="0"/>
                  <w:marRight w:val="0"/>
                  <w:marTop w:val="0"/>
                  <w:marBottom w:val="0"/>
                  <w:divBdr>
                    <w:top w:val="none" w:sz="0" w:space="0" w:color="auto"/>
                    <w:left w:val="none" w:sz="0" w:space="0" w:color="auto"/>
                    <w:bottom w:val="none" w:sz="0" w:space="0" w:color="auto"/>
                    <w:right w:val="none" w:sz="0" w:space="0" w:color="auto"/>
                  </w:divBdr>
                </w:div>
              </w:divsChild>
            </w:div>
            <w:div w:id="1751851530">
              <w:marLeft w:val="0"/>
              <w:marRight w:val="0"/>
              <w:marTop w:val="0"/>
              <w:marBottom w:val="0"/>
              <w:divBdr>
                <w:top w:val="none" w:sz="0" w:space="0" w:color="auto"/>
                <w:left w:val="none" w:sz="0" w:space="0" w:color="auto"/>
                <w:bottom w:val="none" w:sz="0" w:space="0" w:color="auto"/>
                <w:right w:val="none" w:sz="0" w:space="0" w:color="auto"/>
              </w:divBdr>
              <w:divsChild>
                <w:div w:id="1405179746">
                  <w:marLeft w:val="0"/>
                  <w:marRight w:val="0"/>
                  <w:marTop w:val="0"/>
                  <w:marBottom w:val="0"/>
                  <w:divBdr>
                    <w:top w:val="none" w:sz="0" w:space="0" w:color="auto"/>
                    <w:left w:val="none" w:sz="0" w:space="0" w:color="auto"/>
                    <w:bottom w:val="none" w:sz="0" w:space="0" w:color="auto"/>
                    <w:right w:val="none" w:sz="0" w:space="0" w:color="auto"/>
                  </w:divBdr>
                </w:div>
              </w:divsChild>
            </w:div>
            <w:div w:id="1890142155">
              <w:marLeft w:val="0"/>
              <w:marRight w:val="0"/>
              <w:marTop w:val="0"/>
              <w:marBottom w:val="0"/>
              <w:divBdr>
                <w:top w:val="none" w:sz="0" w:space="0" w:color="auto"/>
                <w:left w:val="none" w:sz="0" w:space="0" w:color="auto"/>
                <w:bottom w:val="none" w:sz="0" w:space="0" w:color="auto"/>
                <w:right w:val="none" w:sz="0" w:space="0" w:color="auto"/>
              </w:divBdr>
              <w:divsChild>
                <w:div w:id="1908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098409">
      <w:bodyDiv w:val="1"/>
      <w:marLeft w:val="0"/>
      <w:marRight w:val="0"/>
      <w:marTop w:val="0"/>
      <w:marBottom w:val="0"/>
      <w:divBdr>
        <w:top w:val="none" w:sz="0" w:space="0" w:color="auto"/>
        <w:left w:val="none" w:sz="0" w:space="0" w:color="auto"/>
        <w:bottom w:val="none" w:sz="0" w:space="0" w:color="auto"/>
        <w:right w:val="none" w:sz="0" w:space="0" w:color="auto"/>
      </w:divBdr>
      <w:divsChild>
        <w:div w:id="236551064">
          <w:marLeft w:val="0"/>
          <w:marRight w:val="0"/>
          <w:marTop w:val="0"/>
          <w:marBottom w:val="0"/>
          <w:divBdr>
            <w:top w:val="none" w:sz="0" w:space="0" w:color="auto"/>
            <w:left w:val="none" w:sz="0" w:space="0" w:color="auto"/>
            <w:bottom w:val="none" w:sz="0" w:space="0" w:color="auto"/>
            <w:right w:val="none" w:sz="0" w:space="0" w:color="auto"/>
          </w:divBdr>
          <w:divsChild>
            <w:div w:id="230622402">
              <w:marLeft w:val="0"/>
              <w:marRight w:val="0"/>
              <w:marTop w:val="0"/>
              <w:marBottom w:val="0"/>
              <w:divBdr>
                <w:top w:val="none" w:sz="0" w:space="0" w:color="auto"/>
                <w:left w:val="none" w:sz="0" w:space="0" w:color="auto"/>
                <w:bottom w:val="none" w:sz="0" w:space="0" w:color="auto"/>
                <w:right w:val="none" w:sz="0" w:space="0" w:color="auto"/>
              </w:divBdr>
              <w:divsChild>
                <w:div w:id="281425447">
                  <w:marLeft w:val="0"/>
                  <w:marRight w:val="0"/>
                  <w:marTop w:val="0"/>
                  <w:marBottom w:val="0"/>
                  <w:divBdr>
                    <w:top w:val="none" w:sz="0" w:space="0" w:color="auto"/>
                    <w:left w:val="none" w:sz="0" w:space="0" w:color="auto"/>
                    <w:bottom w:val="none" w:sz="0" w:space="0" w:color="auto"/>
                    <w:right w:val="none" w:sz="0" w:space="0" w:color="auto"/>
                  </w:divBdr>
                  <w:divsChild>
                    <w:div w:id="21456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4203">
      <w:bodyDiv w:val="1"/>
      <w:marLeft w:val="0"/>
      <w:marRight w:val="0"/>
      <w:marTop w:val="0"/>
      <w:marBottom w:val="0"/>
      <w:divBdr>
        <w:top w:val="none" w:sz="0" w:space="0" w:color="auto"/>
        <w:left w:val="none" w:sz="0" w:space="0" w:color="auto"/>
        <w:bottom w:val="none" w:sz="0" w:space="0" w:color="auto"/>
        <w:right w:val="none" w:sz="0" w:space="0" w:color="auto"/>
      </w:divBdr>
      <w:divsChild>
        <w:div w:id="842818437">
          <w:marLeft w:val="0"/>
          <w:marRight w:val="0"/>
          <w:marTop w:val="0"/>
          <w:marBottom w:val="0"/>
          <w:divBdr>
            <w:top w:val="none" w:sz="0" w:space="0" w:color="auto"/>
            <w:left w:val="none" w:sz="0" w:space="0" w:color="auto"/>
            <w:bottom w:val="none" w:sz="0" w:space="0" w:color="auto"/>
            <w:right w:val="none" w:sz="0" w:space="0" w:color="auto"/>
          </w:divBdr>
          <w:divsChild>
            <w:div w:id="1234464320">
              <w:marLeft w:val="0"/>
              <w:marRight w:val="0"/>
              <w:marTop w:val="0"/>
              <w:marBottom w:val="0"/>
              <w:divBdr>
                <w:top w:val="none" w:sz="0" w:space="0" w:color="auto"/>
                <w:left w:val="none" w:sz="0" w:space="0" w:color="auto"/>
                <w:bottom w:val="none" w:sz="0" w:space="0" w:color="auto"/>
                <w:right w:val="none" w:sz="0" w:space="0" w:color="auto"/>
              </w:divBdr>
              <w:divsChild>
                <w:div w:id="1928345412">
                  <w:marLeft w:val="0"/>
                  <w:marRight w:val="0"/>
                  <w:marTop w:val="0"/>
                  <w:marBottom w:val="0"/>
                  <w:divBdr>
                    <w:top w:val="none" w:sz="0" w:space="0" w:color="auto"/>
                    <w:left w:val="none" w:sz="0" w:space="0" w:color="auto"/>
                    <w:bottom w:val="none" w:sz="0" w:space="0" w:color="auto"/>
                    <w:right w:val="none" w:sz="0" w:space="0" w:color="auto"/>
                  </w:divBdr>
                  <w:divsChild>
                    <w:div w:id="5798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35126">
      <w:bodyDiv w:val="1"/>
      <w:marLeft w:val="0"/>
      <w:marRight w:val="0"/>
      <w:marTop w:val="0"/>
      <w:marBottom w:val="0"/>
      <w:divBdr>
        <w:top w:val="none" w:sz="0" w:space="0" w:color="auto"/>
        <w:left w:val="none" w:sz="0" w:space="0" w:color="auto"/>
        <w:bottom w:val="none" w:sz="0" w:space="0" w:color="auto"/>
        <w:right w:val="none" w:sz="0" w:space="0" w:color="auto"/>
      </w:divBdr>
      <w:divsChild>
        <w:div w:id="2060591110">
          <w:marLeft w:val="0"/>
          <w:marRight w:val="0"/>
          <w:marTop w:val="0"/>
          <w:marBottom w:val="0"/>
          <w:divBdr>
            <w:top w:val="none" w:sz="0" w:space="0" w:color="auto"/>
            <w:left w:val="none" w:sz="0" w:space="0" w:color="auto"/>
            <w:bottom w:val="none" w:sz="0" w:space="0" w:color="auto"/>
            <w:right w:val="none" w:sz="0" w:space="0" w:color="auto"/>
          </w:divBdr>
          <w:divsChild>
            <w:div w:id="989559529">
              <w:marLeft w:val="0"/>
              <w:marRight w:val="0"/>
              <w:marTop w:val="0"/>
              <w:marBottom w:val="0"/>
              <w:divBdr>
                <w:top w:val="none" w:sz="0" w:space="0" w:color="auto"/>
                <w:left w:val="none" w:sz="0" w:space="0" w:color="auto"/>
                <w:bottom w:val="none" w:sz="0" w:space="0" w:color="auto"/>
                <w:right w:val="none" w:sz="0" w:space="0" w:color="auto"/>
              </w:divBdr>
              <w:divsChild>
                <w:div w:id="1192962086">
                  <w:marLeft w:val="0"/>
                  <w:marRight w:val="0"/>
                  <w:marTop w:val="0"/>
                  <w:marBottom w:val="0"/>
                  <w:divBdr>
                    <w:top w:val="none" w:sz="0" w:space="0" w:color="auto"/>
                    <w:left w:val="none" w:sz="0" w:space="0" w:color="auto"/>
                    <w:bottom w:val="none" w:sz="0" w:space="0" w:color="auto"/>
                    <w:right w:val="none" w:sz="0" w:space="0" w:color="auto"/>
                  </w:divBdr>
                  <w:divsChild>
                    <w:div w:id="1939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16207">
      <w:bodyDiv w:val="1"/>
      <w:marLeft w:val="0"/>
      <w:marRight w:val="0"/>
      <w:marTop w:val="0"/>
      <w:marBottom w:val="0"/>
      <w:divBdr>
        <w:top w:val="none" w:sz="0" w:space="0" w:color="auto"/>
        <w:left w:val="none" w:sz="0" w:space="0" w:color="auto"/>
        <w:bottom w:val="none" w:sz="0" w:space="0" w:color="auto"/>
        <w:right w:val="none" w:sz="0" w:space="0" w:color="auto"/>
      </w:divBdr>
      <w:divsChild>
        <w:div w:id="1379938532">
          <w:marLeft w:val="0"/>
          <w:marRight w:val="0"/>
          <w:marTop w:val="0"/>
          <w:marBottom w:val="0"/>
          <w:divBdr>
            <w:top w:val="none" w:sz="0" w:space="0" w:color="auto"/>
            <w:left w:val="none" w:sz="0" w:space="0" w:color="auto"/>
            <w:bottom w:val="none" w:sz="0" w:space="0" w:color="auto"/>
            <w:right w:val="none" w:sz="0" w:space="0" w:color="auto"/>
          </w:divBdr>
          <w:divsChild>
            <w:div w:id="1517186508">
              <w:marLeft w:val="0"/>
              <w:marRight w:val="0"/>
              <w:marTop w:val="0"/>
              <w:marBottom w:val="0"/>
              <w:divBdr>
                <w:top w:val="none" w:sz="0" w:space="0" w:color="auto"/>
                <w:left w:val="none" w:sz="0" w:space="0" w:color="auto"/>
                <w:bottom w:val="none" w:sz="0" w:space="0" w:color="auto"/>
                <w:right w:val="none" w:sz="0" w:space="0" w:color="auto"/>
              </w:divBdr>
              <w:divsChild>
                <w:div w:id="197360251">
                  <w:marLeft w:val="0"/>
                  <w:marRight w:val="0"/>
                  <w:marTop w:val="0"/>
                  <w:marBottom w:val="0"/>
                  <w:divBdr>
                    <w:top w:val="none" w:sz="0" w:space="0" w:color="auto"/>
                    <w:left w:val="none" w:sz="0" w:space="0" w:color="auto"/>
                    <w:bottom w:val="none" w:sz="0" w:space="0" w:color="auto"/>
                    <w:right w:val="none" w:sz="0" w:space="0" w:color="auto"/>
                  </w:divBdr>
                  <w:divsChild>
                    <w:div w:id="3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43403">
      <w:bodyDiv w:val="1"/>
      <w:marLeft w:val="0"/>
      <w:marRight w:val="0"/>
      <w:marTop w:val="0"/>
      <w:marBottom w:val="0"/>
      <w:divBdr>
        <w:top w:val="none" w:sz="0" w:space="0" w:color="auto"/>
        <w:left w:val="none" w:sz="0" w:space="0" w:color="auto"/>
        <w:bottom w:val="none" w:sz="0" w:space="0" w:color="auto"/>
        <w:right w:val="none" w:sz="0" w:space="0" w:color="auto"/>
      </w:divBdr>
      <w:divsChild>
        <w:div w:id="1036193974">
          <w:marLeft w:val="0"/>
          <w:marRight w:val="0"/>
          <w:marTop w:val="0"/>
          <w:marBottom w:val="0"/>
          <w:divBdr>
            <w:top w:val="none" w:sz="0" w:space="0" w:color="auto"/>
            <w:left w:val="none" w:sz="0" w:space="0" w:color="auto"/>
            <w:bottom w:val="none" w:sz="0" w:space="0" w:color="auto"/>
            <w:right w:val="none" w:sz="0" w:space="0" w:color="auto"/>
          </w:divBdr>
          <w:divsChild>
            <w:div w:id="1780105165">
              <w:marLeft w:val="0"/>
              <w:marRight w:val="0"/>
              <w:marTop w:val="0"/>
              <w:marBottom w:val="0"/>
              <w:divBdr>
                <w:top w:val="none" w:sz="0" w:space="0" w:color="auto"/>
                <w:left w:val="none" w:sz="0" w:space="0" w:color="auto"/>
                <w:bottom w:val="none" w:sz="0" w:space="0" w:color="auto"/>
                <w:right w:val="none" w:sz="0" w:space="0" w:color="auto"/>
              </w:divBdr>
              <w:divsChild>
                <w:div w:id="1100249856">
                  <w:marLeft w:val="0"/>
                  <w:marRight w:val="0"/>
                  <w:marTop w:val="0"/>
                  <w:marBottom w:val="0"/>
                  <w:divBdr>
                    <w:top w:val="none" w:sz="0" w:space="0" w:color="auto"/>
                    <w:left w:val="none" w:sz="0" w:space="0" w:color="auto"/>
                    <w:bottom w:val="none" w:sz="0" w:space="0" w:color="auto"/>
                    <w:right w:val="none" w:sz="0" w:space="0" w:color="auto"/>
                  </w:divBdr>
                  <w:divsChild>
                    <w:div w:id="315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4778">
      <w:bodyDiv w:val="1"/>
      <w:marLeft w:val="0"/>
      <w:marRight w:val="0"/>
      <w:marTop w:val="0"/>
      <w:marBottom w:val="0"/>
      <w:divBdr>
        <w:top w:val="none" w:sz="0" w:space="0" w:color="auto"/>
        <w:left w:val="none" w:sz="0" w:space="0" w:color="auto"/>
        <w:bottom w:val="none" w:sz="0" w:space="0" w:color="auto"/>
        <w:right w:val="none" w:sz="0" w:space="0" w:color="auto"/>
      </w:divBdr>
      <w:divsChild>
        <w:div w:id="1845970203">
          <w:marLeft w:val="0"/>
          <w:marRight w:val="0"/>
          <w:marTop w:val="0"/>
          <w:marBottom w:val="0"/>
          <w:divBdr>
            <w:top w:val="none" w:sz="0" w:space="0" w:color="auto"/>
            <w:left w:val="none" w:sz="0" w:space="0" w:color="auto"/>
            <w:bottom w:val="none" w:sz="0" w:space="0" w:color="auto"/>
            <w:right w:val="none" w:sz="0" w:space="0" w:color="auto"/>
          </w:divBdr>
          <w:divsChild>
            <w:div w:id="77992430">
              <w:marLeft w:val="0"/>
              <w:marRight w:val="0"/>
              <w:marTop w:val="0"/>
              <w:marBottom w:val="0"/>
              <w:divBdr>
                <w:top w:val="none" w:sz="0" w:space="0" w:color="auto"/>
                <w:left w:val="none" w:sz="0" w:space="0" w:color="auto"/>
                <w:bottom w:val="none" w:sz="0" w:space="0" w:color="auto"/>
                <w:right w:val="none" w:sz="0" w:space="0" w:color="auto"/>
              </w:divBdr>
              <w:divsChild>
                <w:div w:id="1747023640">
                  <w:marLeft w:val="0"/>
                  <w:marRight w:val="0"/>
                  <w:marTop w:val="0"/>
                  <w:marBottom w:val="0"/>
                  <w:divBdr>
                    <w:top w:val="none" w:sz="0" w:space="0" w:color="auto"/>
                    <w:left w:val="none" w:sz="0" w:space="0" w:color="auto"/>
                    <w:bottom w:val="none" w:sz="0" w:space="0" w:color="auto"/>
                    <w:right w:val="none" w:sz="0" w:space="0" w:color="auto"/>
                  </w:divBdr>
                  <w:divsChild>
                    <w:div w:id="7747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59022">
      <w:bodyDiv w:val="1"/>
      <w:marLeft w:val="0"/>
      <w:marRight w:val="0"/>
      <w:marTop w:val="0"/>
      <w:marBottom w:val="0"/>
      <w:divBdr>
        <w:top w:val="none" w:sz="0" w:space="0" w:color="auto"/>
        <w:left w:val="none" w:sz="0" w:space="0" w:color="auto"/>
        <w:bottom w:val="none" w:sz="0" w:space="0" w:color="auto"/>
        <w:right w:val="none" w:sz="0" w:space="0" w:color="auto"/>
      </w:divBdr>
      <w:divsChild>
        <w:div w:id="404377620">
          <w:marLeft w:val="0"/>
          <w:marRight w:val="0"/>
          <w:marTop w:val="0"/>
          <w:marBottom w:val="0"/>
          <w:divBdr>
            <w:top w:val="none" w:sz="0" w:space="0" w:color="auto"/>
            <w:left w:val="none" w:sz="0" w:space="0" w:color="auto"/>
            <w:bottom w:val="none" w:sz="0" w:space="0" w:color="auto"/>
            <w:right w:val="none" w:sz="0" w:space="0" w:color="auto"/>
          </w:divBdr>
          <w:divsChild>
            <w:div w:id="1248539339">
              <w:marLeft w:val="0"/>
              <w:marRight w:val="0"/>
              <w:marTop w:val="0"/>
              <w:marBottom w:val="0"/>
              <w:divBdr>
                <w:top w:val="none" w:sz="0" w:space="0" w:color="auto"/>
                <w:left w:val="none" w:sz="0" w:space="0" w:color="auto"/>
                <w:bottom w:val="none" w:sz="0" w:space="0" w:color="auto"/>
                <w:right w:val="none" w:sz="0" w:space="0" w:color="auto"/>
              </w:divBdr>
              <w:divsChild>
                <w:div w:id="788015225">
                  <w:marLeft w:val="0"/>
                  <w:marRight w:val="0"/>
                  <w:marTop w:val="0"/>
                  <w:marBottom w:val="0"/>
                  <w:divBdr>
                    <w:top w:val="none" w:sz="0" w:space="0" w:color="auto"/>
                    <w:left w:val="none" w:sz="0" w:space="0" w:color="auto"/>
                    <w:bottom w:val="none" w:sz="0" w:space="0" w:color="auto"/>
                    <w:right w:val="none" w:sz="0" w:space="0" w:color="auto"/>
                  </w:divBdr>
                </w:div>
              </w:divsChild>
            </w:div>
            <w:div w:id="769936575">
              <w:marLeft w:val="0"/>
              <w:marRight w:val="0"/>
              <w:marTop w:val="0"/>
              <w:marBottom w:val="0"/>
              <w:divBdr>
                <w:top w:val="none" w:sz="0" w:space="0" w:color="auto"/>
                <w:left w:val="none" w:sz="0" w:space="0" w:color="auto"/>
                <w:bottom w:val="none" w:sz="0" w:space="0" w:color="auto"/>
                <w:right w:val="none" w:sz="0" w:space="0" w:color="auto"/>
              </w:divBdr>
              <w:divsChild>
                <w:div w:id="796490922">
                  <w:marLeft w:val="0"/>
                  <w:marRight w:val="0"/>
                  <w:marTop w:val="0"/>
                  <w:marBottom w:val="0"/>
                  <w:divBdr>
                    <w:top w:val="none" w:sz="0" w:space="0" w:color="auto"/>
                    <w:left w:val="none" w:sz="0" w:space="0" w:color="auto"/>
                    <w:bottom w:val="none" w:sz="0" w:space="0" w:color="auto"/>
                    <w:right w:val="none" w:sz="0" w:space="0" w:color="auto"/>
                  </w:divBdr>
                </w:div>
              </w:divsChild>
            </w:div>
            <w:div w:id="1133910049">
              <w:marLeft w:val="0"/>
              <w:marRight w:val="0"/>
              <w:marTop w:val="0"/>
              <w:marBottom w:val="0"/>
              <w:divBdr>
                <w:top w:val="none" w:sz="0" w:space="0" w:color="auto"/>
                <w:left w:val="none" w:sz="0" w:space="0" w:color="auto"/>
                <w:bottom w:val="none" w:sz="0" w:space="0" w:color="auto"/>
                <w:right w:val="none" w:sz="0" w:space="0" w:color="auto"/>
              </w:divBdr>
              <w:divsChild>
                <w:div w:id="1814328740">
                  <w:marLeft w:val="0"/>
                  <w:marRight w:val="0"/>
                  <w:marTop w:val="0"/>
                  <w:marBottom w:val="0"/>
                  <w:divBdr>
                    <w:top w:val="none" w:sz="0" w:space="0" w:color="auto"/>
                    <w:left w:val="none" w:sz="0" w:space="0" w:color="auto"/>
                    <w:bottom w:val="none" w:sz="0" w:space="0" w:color="auto"/>
                    <w:right w:val="none" w:sz="0" w:space="0" w:color="auto"/>
                  </w:divBdr>
                </w:div>
              </w:divsChild>
            </w:div>
            <w:div w:id="1104614343">
              <w:marLeft w:val="0"/>
              <w:marRight w:val="0"/>
              <w:marTop w:val="0"/>
              <w:marBottom w:val="0"/>
              <w:divBdr>
                <w:top w:val="none" w:sz="0" w:space="0" w:color="auto"/>
                <w:left w:val="none" w:sz="0" w:space="0" w:color="auto"/>
                <w:bottom w:val="none" w:sz="0" w:space="0" w:color="auto"/>
                <w:right w:val="none" w:sz="0" w:space="0" w:color="auto"/>
              </w:divBdr>
              <w:divsChild>
                <w:div w:id="702747894">
                  <w:marLeft w:val="0"/>
                  <w:marRight w:val="0"/>
                  <w:marTop w:val="0"/>
                  <w:marBottom w:val="0"/>
                  <w:divBdr>
                    <w:top w:val="none" w:sz="0" w:space="0" w:color="auto"/>
                    <w:left w:val="none" w:sz="0" w:space="0" w:color="auto"/>
                    <w:bottom w:val="none" w:sz="0" w:space="0" w:color="auto"/>
                    <w:right w:val="none" w:sz="0" w:space="0" w:color="auto"/>
                  </w:divBdr>
                </w:div>
              </w:divsChild>
            </w:div>
            <w:div w:id="2010593856">
              <w:marLeft w:val="0"/>
              <w:marRight w:val="0"/>
              <w:marTop w:val="0"/>
              <w:marBottom w:val="0"/>
              <w:divBdr>
                <w:top w:val="none" w:sz="0" w:space="0" w:color="auto"/>
                <w:left w:val="none" w:sz="0" w:space="0" w:color="auto"/>
                <w:bottom w:val="none" w:sz="0" w:space="0" w:color="auto"/>
                <w:right w:val="none" w:sz="0" w:space="0" w:color="auto"/>
              </w:divBdr>
              <w:divsChild>
                <w:div w:id="13852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25897">
      <w:bodyDiv w:val="1"/>
      <w:marLeft w:val="0"/>
      <w:marRight w:val="0"/>
      <w:marTop w:val="0"/>
      <w:marBottom w:val="0"/>
      <w:divBdr>
        <w:top w:val="none" w:sz="0" w:space="0" w:color="auto"/>
        <w:left w:val="none" w:sz="0" w:space="0" w:color="auto"/>
        <w:bottom w:val="none" w:sz="0" w:space="0" w:color="auto"/>
        <w:right w:val="none" w:sz="0" w:space="0" w:color="auto"/>
      </w:divBdr>
      <w:divsChild>
        <w:div w:id="92632067">
          <w:marLeft w:val="0"/>
          <w:marRight w:val="0"/>
          <w:marTop w:val="0"/>
          <w:marBottom w:val="0"/>
          <w:divBdr>
            <w:top w:val="none" w:sz="0" w:space="0" w:color="auto"/>
            <w:left w:val="none" w:sz="0" w:space="0" w:color="auto"/>
            <w:bottom w:val="none" w:sz="0" w:space="0" w:color="auto"/>
            <w:right w:val="none" w:sz="0" w:space="0" w:color="auto"/>
          </w:divBdr>
          <w:divsChild>
            <w:div w:id="1385135540">
              <w:marLeft w:val="0"/>
              <w:marRight w:val="0"/>
              <w:marTop w:val="0"/>
              <w:marBottom w:val="0"/>
              <w:divBdr>
                <w:top w:val="none" w:sz="0" w:space="0" w:color="auto"/>
                <w:left w:val="none" w:sz="0" w:space="0" w:color="auto"/>
                <w:bottom w:val="none" w:sz="0" w:space="0" w:color="auto"/>
                <w:right w:val="none" w:sz="0" w:space="0" w:color="auto"/>
              </w:divBdr>
              <w:divsChild>
                <w:div w:id="1928034144">
                  <w:marLeft w:val="0"/>
                  <w:marRight w:val="0"/>
                  <w:marTop w:val="0"/>
                  <w:marBottom w:val="0"/>
                  <w:divBdr>
                    <w:top w:val="none" w:sz="0" w:space="0" w:color="auto"/>
                    <w:left w:val="none" w:sz="0" w:space="0" w:color="auto"/>
                    <w:bottom w:val="none" w:sz="0" w:space="0" w:color="auto"/>
                    <w:right w:val="none" w:sz="0" w:space="0" w:color="auto"/>
                  </w:divBdr>
                  <w:divsChild>
                    <w:div w:id="20615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81508">
      <w:bodyDiv w:val="1"/>
      <w:marLeft w:val="0"/>
      <w:marRight w:val="0"/>
      <w:marTop w:val="0"/>
      <w:marBottom w:val="0"/>
      <w:divBdr>
        <w:top w:val="none" w:sz="0" w:space="0" w:color="auto"/>
        <w:left w:val="none" w:sz="0" w:space="0" w:color="auto"/>
        <w:bottom w:val="none" w:sz="0" w:space="0" w:color="auto"/>
        <w:right w:val="none" w:sz="0" w:space="0" w:color="auto"/>
      </w:divBdr>
      <w:divsChild>
        <w:div w:id="48379106">
          <w:marLeft w:val="0"/>
          <w:marRight w:val="0"/>
          <w:marTop w:val="0"/>
          <w:marBottom w:val="0"/>
          <w:divBdr>
            <w:top w:val="none" w:sz="0" w:space="0" w:color="auto"/>
            <w:left w:val="none" w:sz="0" w:space="0" w:color="auto"/>
            <w:bottom w:val="none" w:sz="0" w:space="0" w:color="auto"/>
            <w:right w:val="none" w:sz="0" w:space="0" w:color="auto"/>
          </w:divBdr>
          <w:divsChild>
            <w:div w:id="520172004">
              <w:marLeft w:val="0"/>
              <w:marRight w:val="0"/>
              <w:marTop w:val="0"/>
              <w:marBottom w:val="0"/>
              <w:divBdr>
                <w:top w:val="none" w:sz="0" w:space="0" w:color="auto"/>
                <w:left w:val="none" w:sz="0" w:space="0" w:color="auto"/>
                <w:bottom w:val="none" w:sz="0" w:space="0" w:color="auto"/>
                <w:right w:val="none" w:sz="0" w:space="0" w:color="auto"/>
              </w:divBdr>
              <w:divsChild>
                <w:div w:id="1485048633">
                  <w:marLeft w:val="0"/>
                  <w:marRight w:val="0"/>
                  <w:marTop w:val="0"/>
                  <w:marBottom w:val="0"/>
                  <w:divBdr>
                    <w:top w:val="none" w:sz="0" w:space="0" w:color="auto"/>
                    <w:left w:val="none" w:sz="0" w:space="0" w:color="auto"/>
                    <w:bottom w:val="none" w:sz="0" w:space="0" w:color="auto"/>
                    <w:right w:val="none" w:sz="0" w:space="0" w:color="auto"/>
                  </w:divBdr>
                  <w:divsChild>
                    <w:div w:id="5096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6589">
      <w:bodyDiv w:val="1"/>
      <w:marLeft w:val="0"/>
      <w:marRight w:val="0"/>
      <w:marTop w:val="0"/>
      <w:marBottom w:val="0"/>
      <w:divBdr>
        <w:top w:val="none" w:sz="0" w:space="0" w:color="auto"/>
        <w:left w:val="none" w:sz="0" w:space="0" w:color="auto"/>
        <w:bottom w:val="none" w:sz="0" w:space="0" w:color="auto"/>
        <w:right w:val="none" w:sz="0" w:space="0" w:color="auto"/>
      </w:divBdr>
      <w:divsChild>
        <w:div w:id="1526796195">
          <w:marLeft w:val="0"/>
          <w:marRight w:val="0"/>
          <w:marTop w:val="0"/>
          <w:marBottom w:val="0"/>
          <w:divBdr>
            <w:top w:val="none" w:sz="0" w:space="0" w:color="auto"/>
            <w:left w:val="none" w:sz="0" w:space="0" w:color="auto"/>
            <w:bottom w:val="none" w:sz="0" w:space="0" w:color="auto"/>
            <w:right w:val="none" w:sz="0" w:space="0" w:color="auto"/>
          </w:divBdr>
          <w:divsChild>
            <w:div w:id="1598559379">
              <w:marLeft w:val="0"/>
              <w:marRight w:val="0"/>
              <w:marTop w:val="0"/>
              <w:marBottom w:val="0"/>
              <w:divBdr>
                <w:top w:val="none" w:sz="0" w:space="0" w:color="auto"/>
                <w:left w:val="none" w:sz="0" w:space="0" w:color="auto"/>
                <w:bottom w:val="none" w:sz="0" w:space="0" w:color="auto"/>
                <w:right w:val="none" w:sz="0" w:space="0" w:color="auto"/>
              </w:divBdr>
              <w:divsChild>
                <w:div w:id="1585341556">
                  <w:marLeft w:val="0"/>
                  <w:marRight w:val="0"/>
                  <w:marTop w:val="0"/>
                  <w:marBottom w:val="0"/>
                  <w:divBdr>
                    <w:top w:val="none" w:sz="0" w:space="0" w:color="auto"/>
                    <w:left w:val="none" w:sz="0" w:space="0" w:color="auto"/>
                    <w:bottom w:val="none" w:sz="0" w:space="0" w:color="auto"/>
                    <w:right w:val="none" w:sz="0" w:space="0" w:color="auto"/>
                  </w:divBdr>
                  <w:divsChild>
                    <w:div w:id="7644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310">
      <w:bodyDiv w:val="1"/>
      <w:marLeft w:val="0"/>
      <w:marRight w:val="0"/>
      <w:marTop w:val="0"/>
      <w:marBottom w:val="0"/>
      <w:divBdr>
        <w:top w:val="none" w:sz="0" w:space="0" w:color="auto"/>
        <w:left w:val="none" w:sz="0" w:space="0" w:color="auto"/>
        <w:bottom w:val="none" w:sz="0" w:space="0" w:color="auto"/>
        <w:right w:val="none" w:sz="0" w:space="0" w:color="auto"/>
      </w:divBdr>
      <w:divsChild>
        <w:div w:id="1357074056">
          <w:marLeft w:val="0"/>
          <w:marRight w:val="0"/>
          <w:marTop w:val="0"/>
          <w:marBottom w:val="0"/>
          <w:divBdr>
            <w:top w:val="none" w:sz="0" w:space="0" w:color="auto"/>
            <w:left w:val="none" w:sz="0" w:space="0" w:color="auto"/>
            <w:bottom w:val="none" w:sz="0" w:space="0" w:color="auto"/>
            <w:right w:val="none" w:sz="0" w:space="0" w:color="auto"/>
          </w:divBdr>
          <w:divsChild>
            <w:div w:id="1930310775">
              <w:marLeft w:val="0"/>
              <w:marRight w:val="0"/>
              <w:marTop w:val="0"/>
              <w:marBottom w:val="0"/>
              <w:divBdr>
                <w:top w:val="none" w:sz="0" w:space="0" w:color="auto"/>
                <w:left w:val="none" w:sz="0" w:space="0" w:color="auto"/>
                <w:bottom w:val="none" w:sz="0" w:space="0" w:color="auto"/>
                <w:right w:val="none" w:sz="0" w:space="0" w:color="auto"/>
              </w:divBdr>
              <w:divsChild>
                <w:div w:id="867641263">
                  <w:marLeft w:val="0"/>
                  <w:marRight w:val="0"/>
                  <w:marTop w:val="0"/>
                  <w:marBottom w:val="0"/>
                  <w:divBdr>
                    <w:top w:val="none" w:sz="0" w:space="0" w:color="auto"/>
                    <w:left w:val="none" w:sz="0" w:space="0" w:color="auto"/>
                    <w:bottom w:val="none" w:sz="0" w:space="0" w:color="auto"/>
                    <w:right w:val="none" w:sz="0" w:space="0" w:color="auto"/>
                  </w:divBdr>
                  <w:divsChild>
                    <w:div w:id="17523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90753">
      <w:bodyDiv w:val="1"/>
      <w:marLeft w:val="0"/>
      <w:marRight w:val="0"/>
      <w:marTop w:val="0"/>
      <w:marBottom w:val="0"/>
      <w:divBdr>
        <w:top w:val="none" w:sz="0" w:space="0" w:color="auto"/>
        <w:left w:val="none" w:sz="0" w:space="0" w:color="auto"/>
        <w:bottom w:val="none" w:sz="0" w:space="0" w:color="auto"/>
        <w:right w:val="none" w:sz="0" w:space="0" w:color="auto"/>
      </w:divBdr>
      <w:divsChild>
        <w:div w:id="706217066">
          <w:marLeft w:val="0"/>
          <w:marRight w:val="0"/>
          <w:marTop w:val="0"/>
          <w:marBottom w:val="0"/>
          <w:divBdr>
            <w:top w:val="none" w:sz="0" w:space="0" w:color="auto"/>
            <w:left w:val="none" w:sz="0" w:space="0" w:color="auto"/>
            <w:bottom w:val="none" w:sz="0" w:space="0" w:color="auto"/>
            <w:right w:val="none" w:sz="0" w:space="0" w:color="auto"/>
          </w:divBdr>
          <w:divsChild>
            <w:div w:id="2055428200">
              <w:marLeft w:val="0"/>
              <w:marRight w:val="0"/>
              <w:marTop w:val="0"/>
              <w:marBottom w:val="0"/>
              <w:divBdr>
                <w:top w:val="none" w:sz="0" w:space="0" w:color="auto"/>
                <w:left w:val="none" w:sz="0" w:space="0" w:color="auto"/>
                <w:bottom w:val="none" w:sz="0" w:space="0" w:color="auto"/>
                <w:right w:val="none" w:sz="0" w:space="0" w:color="auto"/>
              </w:divBdr>
              <w:divsChild>
                <w:div w:id="875001497">
                  <w:marLeft w:val="0"/>
                  <w:marRight w:val="0"/>
                  <w:marTop w:val="0"/>
                  <w:marBottom w:val="0"/>
                  <w:divBdr>
                    <w:top w:val="none" w:sz="0" w:space="0" w:color="auto"/>
                    <w:left w:val="none" w:sz="0" w:space="0" w:color="auto"/>
                    <w:bottom w:val="none" w:sz="0" w:space="0" w:color="auto"/>
                    <w:right w:val="none" w:sz="0" w:space="0" w:color="auto"/>
                  </w:divBdr>
                </w:div>
              </w:divsChild>
            </w:div>
            <w:div w:id="1538617588">
              <w:marLeft w:val="0"/>
              <w:marRight w:val="0"/>
              <w:marTop w:val="0"/>
              <w:marBottom w:val="0"/>
              <w:divBdr>
                <w:top w:val="none" w:sz="0" w:space="0" w:color="auto"/>
                <w:left w:val="none" w:sz="0" w:space="0" w:color="auto"/>
                <w:bottom w:val="none" w:sz="0" w:space="0" w:color="auto"/>
                <w:right w:val="none" w:sz="0" w:space="0" w:color="auto"/>
              </w:divBdr>
              <w:divsChild>
                <w:div w:id="655571864">
                  <w:marLeft w:val="0"/>
                  <w:marRight w:val="0"/>
                  <w:marTop w:val="0"/>
                  <w:marBottom w:val="0"/>
                  <w:divBdr>
                    <w:top w:val="none" w:sz="0" w:space="0" w:color="auto"/>
                    <w:left w:val="none" w:sz="0" w:space="0" w:color="auto"/>
                    <w:bottom w:val="none" w:sz="0" w:space="0" w:color="auto"/>
                    <w:right w:val="none" w:sz="0" w:space="0" w:color="auto"/>
                  </w:divBdr>
                </w:div>
              </w:divsChild>
            </w:div>
            <w:div w:id="898857439">
              <w:marLeft w:val="0"/>
              <w:marRight w:val="0"/>
              <w:marTop w:val="0"/>
              <w:marBottom w:val="0"/>
              <w:divBdr>
                <w:top w:val="none" w:sz="0" w:space="0" w:color="auto"/>
                <w:left w:val="none" w:sz="0" w:space="0" w:color="auto"/>
                <w:bottom w:val="none" w:sz="0" w:space="0" w:color="auto"/>
                <w:right w:val="none" w:sz="0" w:space="0" w:color="auto"/>
              </w:divBdr>
              <w:divsChild>
                <w:div w:id="1533152395">
                  <w:marLeft w:val="0"/>
                  <w:marRight w:val="0"/>
                  <w:marTop w:val="0"/>
                  <w:marBottom w:val="0"/>
                  <w:divBdr>
                    <w:top w:val="none" w:sz="0" w:space="0" w:color="auto"/>
                    <w:left w:val="none" w:sz="0" w:space="0" w:color="auto"/>
                    <w:bottom w:val="none" w:sz="0" w:space="0" w:color="auto"/>
                    <w:right w:val="none" w:sz="0" w:space="0" w:color="auto"/>
                  </w:divBdr>
                </w:div>
              </w:divsChild>
            </w:div>
            <w:div w:id="2057316401">
              <w:marLeft w:val="0"/>
              <w:marRight w:val="0"/>
              <w:marTop w:val="0"/>
              <w:marBottom w:val="0"/>
              <w:divBdr>
                <w:top w:val="none" w:sz="0" w:space="0" w:color="auto"/>
                <w:left w:val="none" w:sz="0" w:space="0" w:color="auto"/>
                <w:bottom w:val="none" w:sz="0" w:space="0" w:color="auto"/>
                <w:right w:val="none" w:sz="0" w:space="0" w:color="auto"/>
              </w:divBdr>
              <w:divsChild>
                <w:div w:id="47731014">
                  <w:marLeft w:val="0"/>
                  <w:marRight w:val="0"/>
                  <w:marTop w:val="0"/>
                  <w:marBottom w:val="0"/>
                  <w:divBdr>
                    <w:top w:val="none" w:sz="0" w:space="0" w:color="auto"/>
                    <w:left w:val="none" w:sz="0" w:space="0" w:color="auto"/>
                    <w:bottom w:val="none" w:sz="0" w:space="0" w:color="auto"/>
                    <w:right w:val="none" w:sz="0" w:space="0" w:color="auto"/>
                  </w:divBdr>
                </w:div>
              </w:divsChild>
            </w:div>
            <w:div w:id="939220918">
              <w:marLeft w:val="0"/>
              <w:marRight w:val="0"/>
              <w:marTop w:val="0"/>
              <w:marBottom w:val="0"/>
              <w:divBdr>
                <w:top w:val="none" w:sz="0" w:space="0" w:color="auto"/>
                <w:left w:val="none" w:sz="0" w:space="0" w:color="auto"/>
                <w:bottom w:val="none" w:sz="0" w:space="0" w:color="auto"/>
                <w:right w:val="none" w:sz="0" w:space="0" w:color="auto"/>
              </w:divBdr>
              <w:divsChild>
                <w:div w:id="17030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444">
      <w:bodyDiv w:val="1"/>
      <w:marLeft w:val="0"/>
      <w:marRight w:val="0"/>
      <w:marTop w:val="0"/>
      <w:marBottom w:val="0"/>
      <w:divBdr>
        <w:top w:val="none" w:sz="0" w:space="0" w:color="auto"/>
        <w:left w:val="none" w:sz="0" w:space="0" w:color="auto"/>
        <w:bottom w:val="none" w:sz="0" w:space="0" w:color="auto"/>
        <w:right w:val="none" w:sz="0" w:space="0" w:color="auto"/>
      </w:divBdr>
      <w:divsChild>
        <w:div w:id="1916889422">
          <w:marLeft w:val="0"/>
          <w:marRight w:val="0"/>
          <w:marTop w:val="0"/>
          <w:marBottom w:val="0"/>
          <w:divBdr>
            <w:top w:val="none" w:sz="0" w:space="0" w:color="auto"/>
            <w:left w:val="none" w:sz="0" w:space="0" w:color="auto"/>
            <w:bottom w:val="none" w:sz="0" w:space="0" w:color="auto"/>
            <w:right w:val="none" w:sz="0" w:space="0" w:color="auto"/>
          </w:divBdr>
          <w:divsChild>
            <w:div w:id="476536678">
              <w:marLeft w:val="0"/>
              <w:marRight w:val="0"/>
              <w:marTop w:val="0"/>
              <w:marBottom w:val="0"/>
              <w:divBdr>
                <w:top w:val="none" w:sz="0" w:space="0" w:color="auto"/>
                <w:left w:val="none" w:sz="0" w:space="0" w:color="auto"/>
                <w:bottom w:val="none" w:sz="0" w:space="0" w:color="auto"/>
                <w:right w:val="none" w:sz="0" w:space="0" w:color="auto"/>
              </w:divBdr>
              <w:divsChild>
                <w:div w:id="1392652118">
                  <w:marLeft w:val="0"/>
                  <w:marRight w:val="0"/>
                  <w:marTop w:val="0"/>
                  <w:marBottom w:val="0"/>
                  <w:divBdr>
                    <w:top w:val="none" w:sz="0" w:space="0" w:color="auto"/>
                    <w:left w:val="none" w:sz="0" w:space="0" w:color="auto"/>
                    <w:bottom w:val="none" w:sz="0" w:space="0" w:color="auto"/>
                    <w:right w:val="none" w:sz="0" w:space="0" w:color="auto"/>
                  </w:divBdr>
                  <w:divsChild>
                    <w:div w:id="7567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16247">
      <w:bodyDiv w:val="1"/>
      <w:marLeft w:val="0"/>
      <w:marRight w:val="0"/>
      <w:marTop w:val="0"/>
      <w:marBottom w:val="0"/>
      <w:divBdr>
        <w:top w:val="none" w:sz="0" w:space="0" w:color="auto"/>
        <w:left w:val="none" w:sz="0" w:space="0" w:color="auto"/>
        <w:bottom w:val="none" w:sz="0" w:space="0" w:color="auto"/>
        <w:right w:val="none" w:sz="0" w:space="0" w:color="auto"/>
      </w:divBdr>
      <w:divsChild>
        <w:div w:id="1684892072">
          <w:marLeft w:val="0"/>
          <w:marRight w:val="0"/>
          <w:marTop w:val="0"/>
          <w:marBottom w:val="0"/>
          <w:divBdr>
            <w:top w:val="none" w:sz="0" w:space="0" w:color="auto"/>
            <w:left w:val="none" w:sz="0" w:space="0" w:color="auto"/>
            <w:bottom w:val="none" w:sz="0" w:space="0" w:color="auto"/>
            <w:right w:val="none" w:sz="0" w:space="0" w:color="auto"/>
          </w:divBdr>
          <w:divsChild>
            <w:div w:id="1589850782">
              <w:marLeft w:val="0"/>
              <w:marRight w:val="0"/>
              <w:marTop w:val="0"/>
              <w:marBottom w:val="0"/>
              <w:divBdr>
                <w:top w:val="none" w:sz="0" w:space="0" w:color="auto"/>
                <w:left w:val="none" w:sz="0" w:space="0" w:color="auto"/>
                <w:bottom w:val="none" w:sz="0" w:space="0" w:color="auto"/>
                <w:right w:val="none" w:sz="0" w:space="0" w:color="auto"/>
              </w:divBdr>
              <w:divsChild>
                <w:div w:id="1575045951">
                  <w:marLeft w:val="0"/>
                  <w:marRight w:val="0"/>
                  <w:marTop w:val="0"/>
                  <w:marBottom w:val="0"/>
                  <w:divBdr>
                    <w:top w:val="none" w:sz="0" w:space="0" w:color="auto"/>
                    <w:left w:val="none" w:sz="0" w:space="0" w:color="auto"/>
                    <w:bottom w:val="none" w:sz="0" w:space="0" w:color="auto"/>
                    <w:right w:val="none" w:sz="0" w:space="0" w:color="auto"/>
                  </w:divBdr>
                  <w:divsChild>
                    <w:div w:id="6167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02295">
      <w:bodyDiv w:val="1"/>
      <w:marLeft w:val="0"/>
      <w:marRight w:val="0"/>
      <w:marTop w:val="0"/>
      <w:marBottom w:val="0"/>
      <w:divBdr>
        <w:top w:val="none" w:sz="0" w:space="0" w:color="auto"/>
        <w:left w:val="none" w:sz="0" w:space="0" w:color="auto"/>
        <w:bottom w:val="none" w:sz="0" w:space="0" w:color="auto"/>
        <w:right w:val="none" w:sz="0" w:space="0" w:color="auto"/>
      </w:divBdr>
      <w:divsChild>
        <w:div w:id="128331418">
          <w:marLeft w:val="0"/>
          <w:marRight w:val="0"/>
          <w:marTop w:val="0"/>
          <w:marBottom w:val="0"/>
          <w:divBdr>
            <w:top w:val="none" w:sz="0" w:space="0" w:color="auto"/>
            <w:left w:val="none" w:sz="0" w:space="0" w:color="auto"/>
            <w:bottom w:val="none" w:sz="0" w:space="0" w:color="auto"/>
            <w:right w:val="none" w:sz="0" w:space="0" w:color="auto"/>
          </w:divBdr>
          <w:divsChild>
            <w:div w:id="976834702">
              <w:marLeft w:val="0"/>
              <w:marRight w:val="0"/>
              <w:marTop w:val="0"/>
              <w:marBottom w:val="0"/>
              <w:divBdr>
                <w:top w:val="none" w:sz="0" w:space="0" w:color="auto"/>
                <w:left w:val="none" w:sz="0" w:space="0" w:color="auto"/>
                <w:bottom w:val="none" w:sz="0" w:space="0" w:color="auto"/>
                <w:right w:val="none" w:sz="0" w:space="0" w:color="auto"/>
              </w:divBdr>
              <w:divsChild>
                <w:div w:id="21906041">
                  <w:marLeft w:val="0"/>
                  <w:marRight w:val="0"/>
                  <w:marTop w:val="0"/>
                  <w:marBottom w:val="0"/>
                  <w:divBdr>
                    <w:top w:val="none" w:sz="0" w:space="0" w:color="auto"/>
                    <w:left w:val="none" w:sz="0" w:space="0" w:color="auto"/>
                    <w:bottom w:val="none" w:sz="0" w:space="0" w:color="auto"/>
                    <w:right w:val="none" w:sz="0" w:space="0" w:color="auto"/>
                  </w:divBdr>
                  <w:divsChild>
                    <w:div w:id="12740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262776">
      <w:bodyDiv w:val="1"/>
      <w:marLeft w:val="0"/>
      <w:marRight w:val="0"/>
      <w:marTop w:val="0"/>
      <w:marBottom w:val="0"/>
      <w:divBdr>
        <w:top w:val="none" w:sz="0" w:space="0" w:color="auto"/>
        <w:left w:val="none" w:sz="0" w:space="0" w:color="auto"/>
        <w:bottom w:val="none" w:sz="0" w:space="0" w:color="auto"/>
        <w:right w:val="none" w:sz="0" w:space="0" w:color="auto"/>
      </w:divBdr>
      <w:divsChild>
        <w:div w:id="2100179488">
          <w:marLeft w:val="0"/>
          <w:marRight w:val="0"/>
          <w:marTop w:val="0"/>
          <w:marBottom w:val="0"/>
          <w:divBdr>
            <w:top w:val="none" w:sz="0" w:space="0" w:color="auto"/>
            <w:left w:val="none" w:sz="0" w:space="0" w:color="auto"/>
            <w:bottom w:val="none" w:sz="0" w:space="0" w:color="auto"/>
            <w:right w:val="none" w:sz="0" w:space="0" w:color="auto"/>
          </w:divBdr>
          <w:divsChild>
            <w:div w:id="1239054531">
              <w:marLeft w:val="0"/>
              <w:marRight w:val="0"/>
              <w:marTop w:val="0"/>
              <w:marBottom w:val="0"/>
              <w:divBdr>
                <w:top w:val="none" w:sz="0" w:space="0" w:color="auto"/>
                <w:left w:val="none" w:sz="0" w:space="0" w:color="auto"/>
                <w:bottom w:val="none" w:sz="0" w:space="0" w:color="auto"/>
                <w:right w:val="none" w:sz="0" w:space="0" w:color="auto"/>
              </w:divBdr>
              <w:divsChild>
                <w:div w:id="1764763179">
                  <w:marLeft w:val="0"/>
                  <w:marRight w:val="0"/>
                  <w:marTop w:val="0"/>
                  <w:marBottom w:val="0"/>
                  <w:divBdr>
                    <w:top w:val="none" w:sz="0" w:space="0" w:color="auto"/>
                    <w:left w:val="none" w:sz="0" w:space="0" w:color="auto"/>
                    <w:bottom w:val="none" w:sz="0" w:space="0" w:color="auto"/>
                    <w:right w:val="none" w:sz="0" w:space="0" w:color="auto"/>
                  </w:divBdr>
                  <w:divsChild>
                    <w:div w:id="17666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2503</Words>
  <Characters>13769</Characters>
  <Application>Microsoft Macintosh Word</Application>
  <DocSecurity>0</DocSecurity>
  <Lines>114</Lines>
  <Paragraphs>32</Paragraphs>
  <ScaleCrop>false</ScaleCrop>
  <HeadingPairs>
    <vt:vector size="4" baseType="variant">
      <vt:variant>
        <vt:lpstr>Titre</vt:lpstr>
      </vt:variant>
      <vt:variant>
        <vt:i4>1</vt:i4>
      </vt:variant>
      <vt:variant>
        <vt:lpstr>Headings</vt:lpstr>
      </vt:variant>
      <vt:variant>
        <vt:i4>27</vt:i4>
      </vt:variant>
    </vt:vector>
  </HeadingPairs>
  <TitlesOfParts>
    <vt:vector size="28" baseType="lpstr">
      <vt:lpstr/>
      <vt:lpstr>ECHANTILLON LIS (Gross+Mixed) : 24 pays</vt:lpstr>
      <vt:lpstr>Austria, Australia, Canada, Czech Republic, Denmark, Estonia, Finland, France, G</vt:lpstr>
      <vt:lpstr>Japan and South Korea excluded (low quality checks).</vt:lpstr>
      <vt:lpstr>ECHANTILLON TVA : 22 pays</vt:lpstr>
      <vt:lpstr>Austria, Australia, Canada, Czech Republic, Denmark, Estonia, Finland, France, G</vt:lpstr>
      <vt:lpstr>Japan and South Korea excluded (low quality checks) + Israel and Luxembourg excl</vt:lpstr>
      <vt:lpstr/>
      <vt:lpstr/>
      <vt:lpstr>Calcul des taux implicites de tva (itrc_2)</vt:lpstr>
      <vt:lpstr>Méthodologies issues de la littérature :</vt:lpstr>
      <vt:lpstr>Eurostat</vt:lpstr>
      <vt:lpstr>Notre calcul des taux implicites est donc le suivant :</vt:lpstr>
      <vt:lpstr>Tableau récapitulatif de la fiscalité indirecte sur la consommation</vt:lpstr>
      <vt:lpstr>Calcul des propensions à consommer</vt:lpstr>
      <vt:lpstr>Note de bas de page :</vt:lpstr>
      <vt:lpstr>Calibrage des données microéconomiques</vt:lpstr>
      <vt:lpstr>La formule de correction homothétique est la suivante :</vt:lpstr>
      <vt:lpstr>Note de bas de page :</vt:lpstr>
      <vt:lpstr>Lissage des propensions à consommer</vt:lpstr>
      <vt:lpstr>Utilisation des paramètres simulés dans les données LIS</vt:lpstr>
      <vt:lpstr>La formule générique est la suivante :</vt:lpstr>
      <vt:lpstr>Ainsi :</vt:lpstr>
      <vt:lpstr>Note de bas de page :</vt:lpstr>
      <vt:lpstr>Limites des résultats</vt:lpstr>
      <vt:lpstr>Graphiques</vt:lpstr>
      <vt:lpstr>Figure A1. apc_adj by hh income (LIS sample + PT + BE used to compute the sample</vt:lpstr>
      <vt:lpstr>Notes pour les graphiques :</vt:lpstr>
    </vt:vector>
  </TitlesOfParts>
  <LinksUpToDate>false</LinksUpToDate>
  <CharactersWithSpaces>16240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Elvire Guillaud</dc:creator>
  <cp:keywords/>
  <dc:description/>
  <cp:lastModifiedBy>Elvire Guillaud</cp:lastModifiedBy>
  <cp:revision>50</cp:revision>
  <dcterms:created xsi:type="dcterms:W3CDTF">2016-11-21T14:48:00Z</dcterms:created>
  <dcterms:modified xsi:type="dcterms:W3CDTF">2016-11-28T15:55:00Z</dcterms:modified>
</cp:coreProperties>
</file>