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5 : INFÉRENCE TERNAIRE GPU (CUDA SM_86/89 PTX)</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Accélération Massive par Parallélisme Vectoriel et Optimisation SRAM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1.3.0-PRO-SPEC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Statut :</w:t>
      </w:r>
      <w:r w:rsidDel="00000000" w:rsidR="00000000" w:rsidRPr="00000000">
        <w:rPr>
          <w:rFonts w:ascii="Google Sans" w:cs="Google Sans" w:eastAsia="Google Sans" w:hAnsi="Google Sans"/>
          <w:color w:val="1f1f1f"/>
          <w:rtl w:val="0"/>
        </w:rPr>
        <w:t xml:space="preserve"> Spécification Maîtresse d'Ingénierie (High-Throughput / Low-Latency)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Hardware Cible :</w:t>
      </w:r>
      <w:r w:rsidDel="00000000" w:rsidR="00000000" w:rsidRPr="00000000">
        <w:rPr>
          <w:rFonts w:ascii="Google Sans" w:cs="Google Sans" w:eastAsia="Google Sans" w:hAnsi="Google Sans"/>
          <w:color w:val="1f1f1f"/>
          <w:rtl w:val="0"/>
        </w:rPr>
        <w:t xml:space="preserve"> NVIDIA Ampere (RTX 3060 / sm_86), NVIDIA Ada Lovelace (L40s / sm_89)</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OBJECTIF FONCTIONNEL ET PHILOSOPHIE DE CALCUL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5 constitue le cœur de l'accélération matérielle massive pour R2D2. Elle implémente les kernels de calcul de bas niveau pour les processeurs graphiques (GPU). L'objectif est d'exploiter l'architecture massivement parallèle des Streaming Multiprocessors (SM) pour effectuer des multiplications matricielles ternaires (BitNet 1.58-bit) sans aucune opération de multiplication réelle au niveau matériel.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Le Paradigme "Logic-Only"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GPU modernes sont conçus pour les calculs de tenseurs FP16/BF16. R2D2 détourne cette puissance en traitant les poids ternaires </w:t>
      </w:r>
      <w:r w:rsidDel="00000000" w:rsidR="00000000" w:rsidRPr="00000000">
        <w:rPr>
          <w:rFonts w:ascii="Google Sans" w:cs="Google Sans" w:eastAsia="Google Sans" w:hAnsi="Google Sans"/>
          <w:color w:val="1f1f1f"/>
        </w:rPr>
        <w:drawing>
          <wp:inline distB="19050" distT="19050" distL="19050" distR="19050">
            <wp:extent cx="768906" cy="2131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8906" cy="213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comme des signaux logiques. En remplaçant les calculs flottants complexes par une logique de sélection et d'accumulation, nous visons à saturer la bande passante de la mémoire vidéo (VRAM) et à maximiser l'utilisation de la mémoire partagée (Shared Memory/SRAM), transformant une carte grand public en un moteur d'inférence de classe "datacenter".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MODULE 5.1 : ACCÈS COALESCÉ ET TOPOLOGIE VRAM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GPU est extrêmement sensible à la manière dont les données sont lues en mémoire globale. Un accès mal aligné peut provoquer des "replays" de transactions mémoire, divisant la performance par 10.</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Layout Matriciel "Interleaved"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masques ternaires (m_pos et m_neg) ne sont pas stockés séparément, mais entrelacés dans des vecteurs uint2 ou uint4.</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Alignement critique</w:t>
      </w:r>
      <w:r w:rsidDel="00000000" w:rsidR="00000000" w:rsidRPr="00000000">
        <w:rPr>
          <w:rFonts w:ascii="Google Sans" w:cs="Google Sans" w:eastAsia="Google Sans" w:hAnsi="Google Sans"/>
          <w:color w:val="1f1f1f"/>
          <w:rtl w:val="0"/>
        </w:rPr>
        <w:t xml:space="preserve"> : Les données sont alignées sur des frontières de 128 octets (taille d'une ligne de cache L2). Cela permet des lectures "coalescées" : un seul cycle de transaction mémoire suffit pour alimenter les 32 threads d'un Warp.</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Réduction de la pression sur le bus</w:t>
      </w:r>
      <w:r w:rsidDel="00000000" w:rsidR="00000000" w:rsidRPr="00000000">
        <w:rPr>
          <w:rFonts w:ascii="Google Sans" w:cs="Google Sans" w:eastAsia="Google Sans" w:hAnsi="Google Sans"/>
          <w:color w:val="1f1f1f"/>
          <w:rtl w:val="0"/>
        </w:rPr>
        <w:t xml:space="preserve"> : Contrairement au FP16 qui demande 16 bits par paramètre, notre format ternaire packé n'en demande que 2. Cela signifie qu'à chaque cycle de lecture, nous ramenons 8 fois plus de paramètres dans le cache, contournant ainsi le goulot d'étranglement traditionnel de la GDDR6.</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Optimisation du Bus PCIe et Pinned Memory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ton serveur à 64 vCPUs, le Kernel utilise des "Pinned Memories" (Page-locked). Cela permet au GPU d'accéder directement à la RAM système via DMA (Direct Memory Access) sans passer par le CPU, libérant ainsi tes vCPUs pour les tâches d'audit de la Brique 10 pendant que les transferts de poids s'opèrent en arrière-plan.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MODULE 5.2 : STRATÉGIE DE TILING ET MÉMOIRE PARTAGÉE (SRAM)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latence de la VRAM globale est de ~200-400 cycles, ce qui est une éternité. La </w:t>
      </w:r>
      <w:r w:rsidDel="00000000" w:rsidR="00000000" w:rsidRPr="00000000">
        <w:rPr>
          <w:rFonts w:ascii="Google Sans" w:cs="Google Sans" w:eastAsia="Google Sans" w:hAnsi="Google Sans"/>
          <w:b w:val="1"/>
          <w:bCs w:val="1"/>
          <w:color w:val="1f1f1f"/>
          <w:rtl w:val="0"/>
        </w:rPr>
        <w:t xml:space="preserve">Shared Memory (SRAM)</w:t>
      </w:r>
      <w:r w:rsidDel="00000000" w:rsidR="00000000" w:rsidRPr="00000000">
        <w:rPr>
          <w:rFonts w:ascii="Google Sans" w:cs="Google Sans" w:eastAsia="Google Sans" w:hAnsi="Google Sans"/>
          <w:color w:val="1f1f1f"/>
          <w:rtl w:val="0"/>
        </w:rPr>
        <w:t xml:space="preserve">, située directement sur le SM, possède une latence de ~20 cycles.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Hiérarchie de Tiling 2D et cp.async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divise les matrices d'activations et de poids en tuiles (ex: 32x32).</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SRAM Pre-loading</w:t>
      </w:r>
      <w:r w:rsidDel="00000000" w:rsidR="00000000" w:rsidRPr="00000000">
        <w:rPr>
          <w:rFonts w:ascii="Google Sans" w:cs="Google Sans" w:eastAsia="Google Sans" w:hAnsi="Google Sans"/>
          <w:color w:val="1f1f1f"/>
          <w:rtl w:val="0"/>
        </w:rPr>
        <w:t xml:space="preserve"> : Avant le calcul, les threads d'un bloc chargent collectivement une tuile dans la SRAM.</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Double Buffering (Pipelinage)</w:t>
      </w:r>
      <w:r w:rsidDel="00000000" w:rsidR="00000000" w:rsidRPr="00000000">
        <w:rPr>
          <w:rFonts w:ascii="Google Sans" w:cs="Google Sans" w:eastAsia="Google Sans" w:hAnsi="Google Sans"/>
          <w:color w:val="1f1f1f"/>
          <w:rtl w:val="0"/>
        </w:rPr>
        <w:t xml:space="preserve"> : Grâce aux instructions cp.async introduites avec Ampere, nous chargeons la Tuile </w:t>
      </w:r>
      <w:r w:rsidDel="00000000" w:rsidR="00000000" w:rsidRPr="00000000">
        <w:rPr>
          <w:rFonts w:ascii="Google Sans" w:cs="Google Sans" w:eastAsia="Google Sans" w:hAnsi="Google Sans"/>
          <w:color w:val="1f1f1f"/>
        </w:rPr>
        <w:drawing>
          <wp:inline distB="19050" distT="19050" distL="19050" distR="19050">
            <wp:extent cx="485775" cy="23903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577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SRAM pendant que les cœurs calculent sur la Tuile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 recouvrement matériel "cache" totalement la latence de lecture. L'utilisation de barrières matérielles (mbarrier) garantit que le calcul ne commence que lorsque la transaction asynchrone est finalisée.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Évitement des Conflits de Bancs (Bank Conflicts)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SRAM est organisée en 32 bancs de 4 octets. Si deux threads d'un Warp accèdent au même banc, la lecture est sérialisée.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Padding Sémantique</w:t>
      </w:r>
      <w:r w:rsidDel="00000000" w:rsidR="00000000" w:rsidRPr="00000000">
        <w:rPr>
          <w:rFonts w:ascii="Google Sans" w:cs="Google Sans" w:eastAsia="Google Sans" w:hAnsi="Google Sans"/>
          <w:color w:val="1f1f1f"/>
          <w:rtl w:val="0"/>
        </w:rPr>
        <w:t xml:space="preserve"> : Le Kernel ajoute automatiquement des colonnes "fantômes" (padding) de 1 ou 2 mots dans la structure de données en SRAM. Ce décalage garantit qu'à chaque accès de thread, les indices tombent sur des bancs différents, permettant un débit de lecture maximal de 32 mots par cycle.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MODULE 5.3 : DÉBALLAGE ZERO-BRANCH ET EFFICACITÉ WARP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 GPU, l'instruction if est l'ennemi. Si les threads d'un Warp divergent (certains prennent le if, d'autres le else), le matériel sérialise l'exécution, divisant la puissance par 32.</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Logique Algébrique Pure sans Divergence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Nous utilisons des opérations intrinsèques PTX (lop3, shl, and) pour extraire les signes.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Extraction ternaire optimisée en une seule étape logique</w:t>
        <w:br w:type="textWrapping"/>
        <w:t xml:space="preserve">// float val = shared_activations[i];</w:t>
        <w:br w:type="textWrapping"/>
        <w:t xml:space="preserve">// int mask = shared_weights[j];</w:t>
        <w:br w:type="textWrapping"/>
        <w:t xml:space="preserve">int is_pos = (mask &gt;&gt; bit_pos) &amp; 1;</w:t>
        <w:br w:type="textWrapping"/>
        <w:t xml:space="preserve">int is_neg = (mask &gt;&gt; bit_neg) &amp; 1;</w:t>
        <w:br w:type="textWrapping"/>
        <w:t xml:space="preserve">// L'accumulation utilise un prédicat matériel ou une soustraction</w:t>
        <w:br w:type="textWrapping"/>
        <w:t xml:space="preserve">acc += (float)(is_pos - is_neg) * val;</w:t>
        <w:br w:type="textWrapping"/>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Optimisation FMA (Fused Multiply-Add)</w:t>
      </w:r>
      <w:r w:rsidDel="00000000" w:rsidR="00000000" w:rsidRPr="00000000">
        <w:rPr>
          <w:rFonts w:ascii="Google Sans" w:cs="Google Sans" w:eastAsia="Google Sans" w:hAnsi="Google Sans"/>
          <w:color w:val="1f1f1f"/>
          <w:rtl w:val="0"/>
        </w:rPr>
        <w:t xml:space="preserve"> : Bien qu'il n'y ait pas de multiplication réelle, nous forçons l'utilisation des unités FMA car elles sont les plus rapides pour l'accumulation. Multiplier par 1, -1 ou 0 via une unité dédiée reste plus efficace que de gérer des sauts conditionnels.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Loop Unrolling et Registres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est compilé avec #pragma unroll. Cela réduit l'overhead de gestion des boucles et permet au compilateur de placer les variables de calcul directement dans les registres (RF), éliminant ainsi les allers-retours vers la SRAM.</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MODULE 5.4 : GESTION MULTI-INSTANCE ET SLICING GPU</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supporter la "Ruche" R2D2 (plusieurs agents collaborant sur une seule L40s ou RTX 3060) :</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NVIDIA MPS (Multi-Process Service)</w:t>
      </w:r>
      <w:r w:rsidDel="00000000" w:rsidR="00000000" w:rsidRPr="00000000">
        <w:rPr>
          <w:rFonts w:ascii="Google Sans" w:cs="Google Sans" w:eastAsia="Google Sans" w:hAnsi="Google Sans"/>
          <w:color w:val="1f1f1f"/>
          <w:rtl w:val="0"/>
        </w:rPr>
        <w:t xml:space="preserve"> : Activation obligatoire. Sans MPS, chaque processus agent attendrait son tour pour utiliser le GPU. Avec MPS, les agents "partagent" les Streaming Multiprocessors spatialement, permettant à un petit agent "Architecte" et un gros agent "Codeur" de tourner en parallèle.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Priorité de Stream et Temps Réel</w:t>
      </w:r>
      <w:r w:rsidDel="00000000" w:rsidR="00000000" w:rsidRPr="00000000">
        <w:rPr>
          <w:rFonts w:ascii="Google Sans" w:cs="Google Sans" w:eastAsia="Google Sans" w:hAnsi="Google Sans"/>
          <w:color w:val="1f1f1f"/>
          <w:rtl w:val="0"/>
        </w:rPr>
        <w:t xml:space="preserve"> : L'agent "Auditeur Sécurité" dispose d'un flux à haute priorité (cudaStreamPriorityHigh). S'il détecte une anomalie, ses kernels "doublent" tous les autres dans la file d'attente du GPU, garantissant un temps de réponse critique quasi-instantané.</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 Switching ultra-rapide</w:t>
      </w:r>
      <w:r w:rsidDel="00000000" w:rsidR="00000000" w:rsidRPr="00000000">
        <w:rPr>
          <w:rFonts w:ascii="Google Sans" w:cs="Google Sans" w:eastAsia="Google Sans" w:hAnsi="Google Sans"/>
          <w:color w:val="1f1f1f"/>
          <w:rtl w:val="0"/>
        </w:rPr>
        <w:t xml:space="preserve"> : Grâce au format BitNet, les poids sont 8x plus petits. Charger un nouvel agent ne prend que ~2-5ms contre ~40-100ms pour du FP16 classique.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SÉCURITÉ ET NETTOYAGE (GPU SCRUBBING)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GPU ne possède pas de protection native contre la réutilisation des registres par un autre processus. C'est une faille critique de fuite de données.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Kernel de Nettoyage (The Scrubber)</w:t>
      </w:r>
      <w:r w:rsidDel="00000000" w:rsidR="00000000" w:rsidRPr="00000000">
        <w:rPr>
          <w:rFonts w:ascii="Google Sans" w:cs="Google Sans" w:eastAsia="Google Sans" w:hAnsi="Google Sans"/>
          <w:color w:val="1f1f1f"/>
          <w:rtl w:val="0"/>
        </w:rPr>
        <w:t xml:space="preserve"> : Avant chaque changement de contexte (lorsqu'un agent termine sa tâche), R2D2 lance un kernel "Scrubber" qui sature tous les registres, la SRAM et les caches L1/L2 avec des zéros.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Isolation DMA et Chiffrement</w:t>
      </w:r>
      <w:r w:rsidDel="00000000" w:rsidR="00000000" w:rsidRPr="00000000">
        <w:rPr>
          <w:rFonts w:ascii="Google Sans" w:cs="Google Sans" w:eastAsia="Google Sans" w:hAnsi="Google Sans"/>
          <w:color w:val="1f1f1f"/>
          <w:rtl w:val="0"/>
        </w:rPr>
        <w:t xml:space="preserve"> : Les transferts PCIe utilisent des tampons mémoire isolés. Pour la L40s (Ada Lovelace), nous exploitons le "Confidential Computing" si disponible pour isoler physiquement les contextes d'exécution.</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INVARIANTS DE PERFORMANCE ET MÉTRIQUES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succès de la Brique 5 se mesure par le "Roofline Model" :</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Occupation des SM</w:t>
      </w:r>
      <w:r w:rsidDel="00000000" w:rsidR="00000000" w:rsidRPr="00000000">
        <w:rPr>
          <w:rFonts w:ascii="Google Sans" w:cs="Google Sans" w:eastAsia="Google Sans" w:hAnsi="Google Sans"/>
          <w:color w:val="1f1f1f"/>
          <w:rtl w:val="0"/>
        </w:rPr>
        <w:t xml:space="preserve"> : Cible &gt; 85%. Une occupation trop faible indique un manque de parallélisme. Une occupation trop haute peut saturer les registres et forcer du "spilling" vers la mémoire lente.</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Throughput Équivalent</w:t>
      </w:r>
      <w:r w:rsidDel="00000000" w:rsidR="00000000" w:rsidRPr="00000000">
        <w:rPr>
          <w:rFonts w:ascii="Google Sans" w:cs="Google Sans" w:eastAsia="Google Sans" w:hAnsi="Google Sans"/>
          <w:color w:val="1f1f1f"/>
          <w:rtl w:val="0"/>
        </w:rPr>
        <w:t xml:space="preserve"> : Sur ta RTX 3060, nous visons un débit de </w:t>
      </w:r>
      <w:r w:rsidDel="00000000" w:rsidR="00000000" w:rsidRPr="00000000">
        <w:rPr>
          <w:rFonts w:ascii="Google Sans" w:cs="Google Sans" w:eastAsia="Google Sans" w:hAnsi="Google Sans"/>
          <w:b w:val="1"/>
          <w:bCs w:val="1"/>
          <w:color w:val="1f1f1f"/>
          <w:rtl w:val="0"/>
        </w:rPr>
        <w:t xml:space="preserve">50 TFLOPS ternaires</w:t>
      </w:r>
      <w:r w:rsidDel="00000000" w:rsidR="00000000" w:rsidRPr="00000000">
        <w:rPr>
          <w:rFonts w:ascii="Google Sans" w:cs="Google Sans" w:eastAsia="Google Sans" w:hAnsi="Google Sans"/>
          <w:color w:val="1f1f1f"/>
          <w:rtl w:val="0"/>
        </w:rPr>
        <w:t xml:space="preserve">. Cela signifie que le système traite les données aussi vite qu'une puce dédiée à l'IA.</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Efficience Thermique</w:t>
      </w:r>
      <w:r w:rsidDel="00000000" w:rsidR="00000000" w:rsidRPr="00000000">
        <w:rPr>
          <w:rFonts w:ascii="Google Sans" w:cs="Google Sans" w:eastAsia="Google Sans" w:hAnsi="Google Sans"/>
          <w:color w:val="1f1f1f"/>
          <w:rtl w:val="0"/>
        </w:rPr>
        <w:t xml:space="preserve"> : Réduction de 40% de la consommation électrique. Le GPU chauffe moins car les unités de virgule flottante complexes ne sont sollicitées que pour l'accumulation finale, pas pour les millions de multiplications intermédiaires.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NOTE POUR LES DÉVELOPPEURS DE LA FORGE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Imaginez le GPU comme une armée de 3500 archers (les cœurs CUDA). Si vous demandez à chacun de viser une cible différente ou d'attendre un ordre individuel, l'armée s'effondre. En utilisant le </w:t>
      </w:r>
      <w:r w:rsidDel="00000000" w:rsidR="00000000" w:rsidRPr="00000000">
        <w:rPr>
          <w:rFonts w:ascii="Google Sans" w:cs="Google Sans" w:eastAsia="Google Sans" w:hAnsi="Google Sans"/>
          <w:b w:val="1"/>
          <w:bCs w:val="1"/>
          <w:color w:val="1f1f1f"/>
          <w:rtl w:val="0"/>
        </w:rPr>
        <w:t xml:space="preserve">bit-packing ternaire</w:t>
      </w:r>
      <w:r w:rsidDel="00000000" w:rsidR="00000000" w:rsidRPr="00000000">
        <w:rPr>
          <w:rFonts w:ascii="Google Sans" w:cs="Google Sans" w:eastAsia="Google Sans" w:hAnsi="Google Sans"/>
          <w:color w:val="1f1f1f"/>
          <w:rtl w:val="0"/>
        </w:rPr>
        <w:t xml:space="preserve">, vous leur donnez un rythme synchronisé. Ils ne "réfléchissent" plus au sens probabiliste, ils exécutent une mécanique fluide à la vitesse de la lumière.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cette discipline de flux qui fait de R2D2 une IA souveraine capable de surpasser les infrastructures géantes avec des ressources locales.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