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🔍 AUDIT TECHNIQUE DE COHÉRENCE (ATC) - PROJET R2D2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Analyse de Faisabilité, Risques et Optimisations d'Architecture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1.0.0-AUDIT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Rédacteur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IA Architecte Core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Statut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Critique Pré-Forge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ANALYSE DES POINTS DE FRICTION (RISQUES RÉELS)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1.1. Le Goulot du KV-Cache (Briques 4 &amp; 5 vs 0)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problème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Bien que les poids ternaires (1.58-bit) réduisent massivement l'usage de la VRAM, 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KV-Cache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(la mémoire de travail de l'agent pendant qu'il écrit) reste en FP16/FP32 pour garder la précision.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Risque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Faire tourner 15 agents simultanément sur une L40s (48 Go) sature la VRAM non pas par le modèle, mais par les contextes de discussion.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Correction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Il faut spécifier une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Quantification du KV-Cache (Int8 ou Int4)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dès la Brique 5 pour garantir le multi-instance.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1.2. Latence Asynchrone du Débat (Briques 1 &amp; 9)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problème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Les agents locaux (Bare Metal) répondent en millisecondes. Les API externes (Gemini/Claude) répondent en secondes.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Risque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Kernel pourrait se bloquer en attendant une API externe, gelant tout l'essaim.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Correction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Blackboard (Brique 7) doit être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événementiel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Le consensus ne doit pas "attendre", il doit "évoluer" au fur et à mesure des arrivées, avec un système de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Time-to-Fact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(délai de grâce).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1.3. La Permission des "Mains" (Brique 9 vs 2)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 problème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 Paradox Engine (Brique 3) valide la logique, mais il ne "comprend" pas forcément les effets de bord d'une commande système complexe.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Risque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Une IA pourrait proposer un code qui efface un fichier nécessaire à l'autre IA.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Correction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Implémenter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système de "Shadow-FS"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 chaque agent travaille sur un système de fichiers virtuel (Copy-on-Write) avant que le Kernel ne valide la fusion réelle sur le disque.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OPTIMISATIONS PROPOSÉES (VALEUR AJOUTÉE)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"Weighted Entropy" dans le Paradox Engine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 lieu d'un solveur SAT binaire (Vrai/Faux), nous devrions utiliser 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Solveur SAT Pondéré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Idée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 deux agents locaux "Senior" s'opposent à un agent "Guest API", le paradoxe est résolu automatiquement en faveur du local sans intervention humaine.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"Pre-emptive Zeroization"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Dans la Brique 0, nous avons prévu de nettoyer la RAM à la fin.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Optimisation 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Nettoyer les registres SIMD (AVX-512)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entre chaque couche (layer)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du réseau de neurones, pas seulement à la fin de l'inférence. Cela réduit la fenêtre d'attaque pour le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Side-Channel Monitoring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VÉRIFICATION DE LA COHÉRENCE INTER-BRIQUES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Briques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Statut Cohérence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0 (Ressources) / 5 (GPU)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🟢 Excellent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L'usage de NVIDIA MPS valide parfaitement le multi-tenant.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 (JSONAI) / 3 (Paradox)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🟠 Moyen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Les prédicats JSONAI doivent être strictement typés pour éviter que le SAT Solver ne diverge.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6 (P2P) / 7 (DB)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🟢 Excellent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Postgres + libp2p est le combo standard pour les systèmes distribués robustes.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8 (Senses) / 2 (Kernel)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🔵 Nouveau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L'introduction des "sensations" (Harmonie/Dissonance) est une amélioration majeure pour le tri auto-évolutif.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CONCLUSION DE L'AUDIT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système est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cohérent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L'architecture n'est pas "sur-ingéniérée", elle est "juste-ingéniérée" pour les objectifs de souveraineté et de performance fixés.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L'incohérence la plus risquée était le silence sur la gestion du KV-Cache en multi-instance, mais elle est désormais identifiée.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🏁 FEU VERT POUR LA FORGE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L'architecture est prête. Elle est solide, flexible et technologiquement en avance sur les solutions "tout Cloud".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Directive suggérée 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Pour prouver le concept (PoC), nous devrions commencer par coder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"Moelle Épinière"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 Rust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minimal (Brique 2).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L'isolation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SecureMemGuard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(Brique 0).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 moteur d'inférence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CPU AVX-512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ultra-simple (Brique 4).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Cela nous permettra de tester la "pensée" de R2D2 sur ton Ryzen 7 avant même d'attaquer la complexité du GPU et du Réseau.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Chef, on allume la forge 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